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both"/>
        <w:rPr>
          <w:rFonts w:ascii="等线" w:hAnsi="等线" w:eastAsia="仿宋_GB2312"/>
          <w:sz w:val="32"/>
          <w:szCs w:val="22"/>
          <w:shd w:val="clear" w:color="auto" w:fill="FFFFFF"/>
        </w:rPr>
      </w:pPr>
      <w:bookmarkStart w:id="0" w:name="_Toc28290"/>
      <w:bookmarkStart w:id="1" w:name="_Toc23464"/>
      <w:bookmarkStart w:id="2" w:name="_Toc25655"/>
      <w:bookmarkStart w:id="3" w:name="_Toc30931"/>
      <w:bookmarkStart w:id="4" w:name="_Toc24119"/>
      <w:bookmarkStart w:id="5" w:name="_Toc2184"/>
      <w:bookmarkStart w:id="6" w:name="_Toc14883"/>
      <w:bookmarkStart w:id="7" w:name="_Toc3054"/>
      <w:bookmarkStart w:id="8" w:name="_Toc161072036"/>
      <w:bookmarkStart w:id="9" w:name="_Toc154586970"/>
      <w:bookmarkStart w:id="10" w:name="_Toc15157"/>
      <w:bookmarkStart w:id="11" w:name="_Toc28830"/>
      <w:bookmarkStart w:id="12" w:name="_Toc15825"/>
      <w:bookmarkStart w:id="13" w:name="_Toc132"/>
      <w:bookmarkStart w:id="14" w:name="_Toc31482"/>
      <w:bookmarkStart w:id="15" w:name="_Toc30386"/>
      <w:bookmarkStart w:id="312" w:name="_GoBack"/>
      <w:bookmarkEnd w:id="312"/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等线" w:hAnsi="等线" w:eastAsia="仿宋_GB2312"/>
          <w:sz w:val="32"/>
          <w:szCs w:val="22"/>
          <w:shd w:val="clear" w:color="auto" w:fill="FFFFFF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shd w:val="clear" w:color="auto" w:fill="FFFFFF"/>
        </w:rPr>
        <w:t>平急功能复合的韧性城市规划与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shd w:val="clear" w:color="auto" w:fill="FFFFFF"/>
        </w:rPr>
        <w:t>土地政策指引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为贯彻落实习近平新时代中国特色社会主义思想和党的二十大精神，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发挥“多规合一”改革优势，提高城市规划、建设、治理水平，建设宜居、韧性、智慧城市</w:t>
      </w:r>
      <w:r>
        <w:rPr>
          <w:rFonts w:hint="eastAsia" w:ascii="等线" w:hAnsi="等线" w:eastAsia="仿宋_GB2312"/>
          <w:sz w:val="32"/>
          <w:szCs w:val="22"/>
        </w:rPr>
        <w:t>，按照国务院办公厅</w:t>
      </w:r>
      <w:r>
        <w:rPr>
          <w:rFonts w:hint="eastAsia" w:ascii="等线" w:hAnsi="等线" w:eastAsia="仿宋_GB2312"/>
          <w:sz w:val="32"/>
          <w:szCs w:val="22"/>
          <w:lang w:eastAsia="zh-CN"/>
        </w:rPr>
        <w:t>相关文件</w:t>
      </w:r>
      <w:r>
        <w:rPr>
          <w:rFonts w:hint="eastAsia" w:ascii="等线" w:hAnsi="等线" w:eastAsia="仿宋_GB2312"/>
          <w:sz w:val="32"/>
          <w:szCs w:val="22"/>
        </w:rPr>
        <w:t>关于</w:t>
      </w:r>
      <w:r>
        <w:rPr>
          <w:rFonts w:hint="eastAsia" w:ascii="等线" w:hAnsi="等线" w:eastAsia="仿宋_GB2312"/>
          <w:sz w:val="32"/>
          <w:szCs w:val="22"/>
          <w:lang w:eastAsia="zh-CN"/>
        </w:rPr>
        <w:t>编制</w:t>
      </w:r>
      <w:r>
        <w:rPr>
          <w:rFonts w:hint="eastAsia" w:ascii="等线" w:hAnsi="等线" w:eastAsia="仿宋_GB2312"/>
          <w:sz w:val="32"/>
          <w:szCs w:val="22"/>
          <w:lang w:val="en-US" w:eastAsia="zh-CN"/>
        </w:rPr>
        <w:t>平急功能复合的国土空间规划要求</w:t>
      </w:r>
      <w:r>
        <w:rPr>
          <w:rFonts w:hint="eastAsia" w:ascii="等线" w:hAnsi="等线" w:eastAsia="仿宋_GB2312"/>
          <w:sz w:val="32"/>
          <w:szCs w:val="22"/>
        </w:rPr>
        <w:t>，组织</w:t>
      </w:r>
      <w:r>
        <w:rPr>
          <w:rFonts w:hint="eastAsia" w:ascii="等线" w:hAnsi="等线" w:eastAsia="仿宋_GB2312"/>
          <w:sz w:val="32"/>
          <w:szCs w:val="22"/>
          <w:lang w:eastAsia="zh-CN"/>
        </w:rPr>
        <w:t>制定</w:t>
      </w:r>
      <w:r>
        <w:rPr>
          <w:rFonts w:hint="eastAsia" w:ascii="等线" w:hAnsi="等线" w:eastAsia="仿宋_GB2312"/>
          <w:sz w:val="32"/>
          <w:szCs w:val="22"/>
        </w:rPr>
        <w:t>本规划与土地政策指引。</w:t>
      </w:r>
    </w:p>
    <w:p>
      <w:pPr>
        <w:pStyle w:val="2"/>
        <w:spacing w:line="600" w:lineRule="exact"/>
        <w:ind w:firstLine="640" w:firstLineChars="200"/>
        <w:rPr>
          <w:b w:val="0"/>
          <w:bCs/>
        </w:rPr>
      </w:pPr>
      <w:bookmarkStart w:id="16" w:name="_Toc162358108"/>
      <w:bookmarkStart w:id="17" w:name="_Toc726258083"/>
      <w:r>
        <w:rPr>
          <w:rFonts w:hint="eastAsia"/>
          <w:b w:val="0"/>
          <w:bCs/>
          <w:lang w:eastAsia="zh-CN"/>
        </w:rPr>
        <w:t>一、</w:t>
      </w:r>
      <w:r>
        <w:rPr>
          <w:rFonts w:hint="eastAsia"/>
          <w:b w:val="0"/>
          <w:bCs/>
        </w:rPr>
        <w:t>总则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8" w:name="_Toc162358109"/>
      <w:bookmarkStart w:id="19" w:name="_Toc1711624533"/>
      <w:bookmarkStart w:id="20" w:name="_Toc7326"/>
      <w:bookmarkStart w:id="21" w:name="_Toc8605"/>
      <w:bookmarkStart w:id="22" w:name="_Toc161072037"/>
      <w:bookmarkStart w:id="23" w:name="_Toc23901"/>
      <w:bookmarkStart w:id="24" w:name="_Toc4047"/>
      <w:bookmarkStart w:id="25" w:name="_Toc30060"/>
      <w:bookmarkStart w:id="26" w:name="_Toc21012"/>
      <w:bookmarkStart w:id="27" w:name="_Toc154586971"/>
      <w:bookmarkStart w:id="28" w:name="_Toc6765"/>
      <w:bookmarkStart w:id="29" w:name="_Toc16815"/>
      <w:bookmarkStart w:id="30" w:name="_Toc15499"/>
      <w:bookmarkStart w:id="31" w:name="_Toc9772"/>
      <w:bookmarkStart w:id="32" w:name="_Toc8302"/>
      <w:bookmarkStart w:id="33" w:name="_Toc2493"/>
      <w:bookmarkStart w:id="34" w:name="_Toc3231"/>
      <w:bookmarkStart w:id="35" w:name="_Toc20278"/>
      <w:bookmarkStart w:id="36" w:name="_Toc150377117"/>
      <w:bookmarkStart w:id="37" w:name="_Toc21281"/>
      <w:bookmarkStart w:id="38" w:name="_Toc149895437"/>
      <w:bookmarkStart w:id="39" w:name="_Toc27828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总体目标</w:t>
      </w:r>
      <w:bookmarkEnd w:id="18"/>
      <w:bookmarkEnd w:id="19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充分发挥国土空间规划对韧性城市建设的</w:t>
      </w:r>
      <w:r>
        <w:rPr>
          <w:rFonts w:hint="eastAsia" w:ascii="等线" w:hAnsi="等线" w:eastAsia="仿宋_GB2312"/>
          <w:sz w:val="32"/>
          <w:szCs w:val="22"/>
          <w:lang w:eastAsia="zh-CN"/>
        </w:rPr>
        <w:t>战略</w:t>
      </w:r>
      <w:r>
        <w:rPr>
          <w:rFonts w:hint="eastAsia" w:ascii="等线" w:hAnsi="等线" w:eastAsia="仿宋_GB2312"/>
          <w:sz w:val="32"/>
          <w:szCs w:val="22"/>
        </w:rPr>
        <w:t>引领</w:t>
      </w:r>
      <w:r>
        <w:rPr>
          <w:rFonts w:hint="eastAsia" w:ascii="等线" w:hAnsi="等线" w:eastAsia="仿宋_GB2312"/>
          <w:sz w:val="32"/>
          <w:szCs w:val="22"/>
          <w:lang w:eastAsia="zh-CN"/>
        </w:rPr>
        <w:t>和刚性约束</w:t>
      </w:r>
      <w:r>
        <w:rPr>
          <w:rFonts w:hint="eastAsia" w:ascii="等线" w:hAnsi="等线" w:eastAsia="仿宋_GB2312"/>
          <w:sz w:val="32"/>
          <w:szCs w:val="22"/>
        </w:rPr>
        <w:t>作用，统筹</w:t>
      </w:r>
      <w:r>
        <w:rPr>
          <w:rFonts w:hint="eastAsia" w:ascii="等线" w:hAnsi="等线" w:eastAsia="仿宋_GB2312"/>
          <w:sz w:val="32"/>
          <w:szCs w:val="22"/>
          <w:lang w:eastAsia="zh-CN"/>
        </w:rPr>
        <w:t>经济、生活、生态、安全等高质量发展需求，统筹规划和土地政策资源，系统推进大城市病治理和城乡融合发展，加快完善“平急两用”公共基础设施，打造</w:t>
      </w:r>
      <w:r>
        <w:rPr>
          <w:rFonts w:hint="eastAsia" w:ascii="等线" w:hAnsi="等线" w:eastAsia="仿宋_GB2312"/>
          <w:sz w:val="32"/>
          <w:szCs w:val="22"/>
        </w:rPr>
        <w:t>宜居、韧性、智慧城市</w:t>
      </w:r>
      <w:r>
        <w:rPr>
          <w:rFonts w:hint="eastAsia" w:ascii="等线" w:hAnsi="等线" w:eastAsia="仿宋_GB2312"/>
          <w:sz w:val="32"/>
          <w:szCs w:val="22"/>
          <w:lang w:eastAsia="zh-CN"/>
        </w:rPr>
        <w:t>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40" w:name="_Toc526143254"/>
      <w:bookmarkStart w:id="41" w:name="_Toc162358110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适用范围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bookmarkStart w:id="42" w:name="_Toc150377119"/>
      <w:bookmarkStart w:id="43" w:name="_Toc14590"/>
      <w:bookmarkStart w:id="44" w:name="_Toc14984"/>
      <w:r>
        <w:rPr>
          <w:rFonts w:hint="eastAsia" w:ascii="等线" w:hAnsi="等线" w:eastAsia="仿宋_GB2312"/>
          <w:sz w:val="32"/>
          <w:szCs w:val="22"/>
        </w:rPr>
        <w:t>本指引适用于在各级各类国土空间规划中落实与深化“平急两用”公共基础设施的规划要求，指导平急功能复合的韧性城市国土空间规划编制和实施管理。</w:t>
      </w:r>
    </w:p>
    <w:p>
      <w:pPr>
        <w:spacing w:line="600" w:lineRule="exact"/>
        <w:ind w:firstLine="640" w:firstLineChars="200"/>
        <w:rPr>
          <w:rFonts w:ascii="等线" w:hAnsi="等线" w:eastAsia="仿宋_GB2312"/>
          <w:b/>
          <w:bCs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列入“平急两用”公共基础设施建设城市名单的城市应</w:t>
      </w:r>
      <w:r>
        <w:rPr>
          <w:rFonts w:hint="eastAsia" w:ascii="等线" w:hAnsi="等线" w:eastAsia="仿宋_GB2312"/>
          <w:sz w:val="32"/>
          <w:szCs w:val="22"/>
          <w:lang w:eastAsia="zh-CN"/>
        </w:rPr>
        <w:t>依据规划</w:t>
      </w:r>
      <w:r>
        <w:rPr>
          <w:rFonts w:hint="eastAsia" w:ascii="等线" w:hAnsi="等线" w:eastAsia="仿宋_GB2312"/>
          <w:sz w:val="32"/>
          <w:szCs w:val="22"/>
        </w:rPr>
        <w:t>积极稳步推进“平急两用”公共基础设施建设，其他城市可根据实际需要，谋划好平急功能复合的韧性城市</w:t>
      </w:r>
      <w:r>
        <w:rPr>
          <w:rFonts w:ascii="等线" w:hAnsi="等线" w:eastAsia="仿宋_GB2312"/>
          <w:sz w:val="32"/>
          <w:szCs w:val="22"/>
        </w:rPr>
        <w:t>国土空间</w:t>
      </w:r>
      <w:r>
        <w:rPr>
          <w:rFonts w:hint="eastAsia" w:ascii="等线" w:hAnsi="等线" w:eastAsia="仿宋_GB2312"/>
          <w:sz w:val="32"/>
          <w:szCs w:val="22"/>
        </w:rPr>
        <w:t>规划工作。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45" w:name="_Toc32625"/>
      <w:bookmarkStart w:id="46" w:name="_Toc162358111"/>
      <w:bookmarkStart w:id="47" w:name="_Toc31860"/>
      <w:bookmarkStart w:id="48" w:name="_Toc16027"/>
      <w:bookmarkStart w:id="49" w:name="_Toc9965"/>
      <w:bookmarkStart w:id="50" w:name="_Toc13861"/>
      <w:bookmarkStart w:id="51" w:name="_Toc25955"/>
      <w:bookmarkStart w:id="52" w:name="_Toc154586972"/>
      <w:bookmarkStart w:id="53" w:name="_Toc26008"/>
      <w:bookmarkStart w:id="54" w:name="_Toc25918"/>
      <w:bookmarkStart w:id="55" w:name="_Toc6177"/>
      <w:bookmarkStart w:id="56" w:name="_Toc11827"/>
      <w:bookmarkStart w:id="57" w:name="_Toc25382"/>
      <w:bookmarkStart w:id="58" w:name="_Toc18467"/>
      <w:bookmarkStart w:id="59" w:name="_Toc391353540"/>
      <w:bookmarkStart w:id="60" w:name="_Toc4204"/>
      <w:bookmarkStart w:id="61" w:name="_Toc161072038"/>
      <w:bookmarkStart w:id="62" w:name="_Toc9549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</w:rPr>
        <w:t>基本原则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坚持人民至上、生命至上。</w:t>
      </w:r>
      <w:r>
        <w:rPr>
          <w:rFonts w:hint="eastAsia" w:ascii="等线" w:hAnsi="等线" w:eastAsia="仿宋_GB2312"/>
          <w:sz w:val="32"/>
          <w:szCs w:val="22"/>
        </w:rPr>
        <w:t>以满足人民</w:t>
      </w:r>
      <w:r>
        <w:rPr>
          <w:rFonts w:hint="eastAsia" w:ascii="等线" w:hAnsi="等线" w:eastAsia="仿宋_GB2312"/>
          <w:sz w:val="32"/>
          <w:szCs w:val="22"/>
          <w:lang w:eastAsia="zh-CN"/>
        </w:rPr>
        <w:t>对</w:t>
      </w:r>
      <w:r>
        <w:rPr>
          <w:rFonts w:hint="eastAsia" w:ascii="等线" w:hAnsi="等线" w:eastAsia="仿宋_GB2312"/>
          <w:sz w:val="32"/>
          <w:szCs w:val="22"/>
        </w:rPr>
        <w:t>美好生活的需要为出发点，贯彻落实总体国家安全观，坚持“宁可备而不用，不可用时无备”，推进“平急两用”公共基础设施建设。</w:t>
      </w:r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2.坚持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底线思维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、依法依规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在严守耕地和永久基本农田</w:t>
      </w:r>
      <w:r>
        <w:rPr>
          <w:rFonts w:hint="eastAsia" w:ascii="等线" w:hAnsi="等线" w:eastAsia="仿宋_GB2312"/>
          <w:sz w:val="32"/>
          <w:szCs w:val="22"/>
          <w:lang w:eastAsia="zh-CN"/>
        </w:rPr>
        <w:t>保护红线</w:t>
      </w:r>
      <w:r>
        <w:rPr>
          <w:rFonts w:hint="eastAsia" w:ascii="等线" w:hAnsi="等线" w:eastAsia="仿宋_GB2312"/>
          <w:sz w:val="32"/>
          <w:szCs w:val="22"/>
        </w:rPr>
        <w:t>、生态保护红线、城镇开发边界</w:t>
      </w:r>
      <w:r>
        <w:rPr>
          <w:rFonts w:hint="eastAsia" w:ascii="等线" w:hAnsi="等线" w:eastAsia="仿宋_GB2312"/>
          <w:sz w:val="32"/>
          <w:szCs w:val="22"/>
          <w:lang w:eastAsia="zh-CN"/>
        </w:rPr>
        <w:t>和历史文化保护线、灾害风险</w:t>
      </w:r>
      <w:r>
        <w:rPr>
          <w:rFonts w:hint="eastAsia" w:ascii="等线" w:hAnsi="等线" w:eastAsia="仿宋_GB2312"/>
          <w:sz w:val="32"/>
          <w:szCs w:val="22"/>
        </w:rPr>
        <w:t>控制线</w:t>
      </w:r>
      <w:r>
        <w:rPr>
          <w:rFonts w:hint="eastAsia" w:ascii="等线" w:hAnsi="等线" w:eastAsia="仿宋_GB2312"/>
          <w:sz w:val="32"/>
          <w:szCs w:val="22"/>
          <w:lang w:eastAsia="zh-CN"/>
        </w:rPr>
        <w:t>等底线约束</w:t>
      </w:r>
      <w:r>
        <w:rPr>
          <w:rFonts w:hint="eastAsia" w:ascii="等线" w:hAnsi="等线" w:eastAsia="仿宋_GB2312"/>
          <w:sz w:val="32"/>
          <w:szCs w:val="22"/>
        </w:rPr>
        <w:t>的基础上，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依据规划</w:t>
      </w:r>
      <w:r>
        <w:rPr>
          <w:rFonts w:hint="eastAsia" w:ascii="等线" w:hAnsi="等线" w:eastAsia="仿宋_GB2312"/>
          <w:sz w:val="32"/>
          <w:szCs w:val="22"/>
        </w:rPr>
        <w:t>统筹做好</w:t>
      </w:r>
      <w:r>
        <w:rPr>
          <w:rFonts w:hint="eastAsia" w:ascii="仿宋_GB2312" w:hAnsi="等线" w:eastAsia="仿宋_GB2312"/>
          <w:sz w:val="32"/>
          <w:szCs w:val="32"/>
        </w:rPr>
        <w:t>“平急两用”公共基础设施空间保障</w:t>
      </w:r>
      <w:r>
        <w:rPr>
          <w:rFonts w:ascii="等线" w:hAnsi="等线" w:eastAsia="仿宋_GB2312"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节约集约利用土地。</w:t>
      </w:r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3.坚持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城乡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融合、功能复合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将城乡作为生命共同体进行治理，抓住后疫情时代城市发展空间和新增长点向郊区转移的机遇，完善城乡“平</w:t>
      </w:r>
      <w:r>
        <w:rPr>
          <w:rFonts w:hint="eastAsia" w:ascii="等线" w:hAnsi="等线" w:eastAsia="仿宋_GB2312"/>
          <w:sz w:val="32"/>
          <w:szCs w:val="22"/>
          <w:highlight w:val="none"/>
        </w:rPr>
        <w:t>急</w:t>
      </w:r>
      <w:r>
        <w:rPr>
          <w:rFonts w:hint="eastAsia" w:ascii="等线" w:hAnsi="等线" w:eastAsia="仿宋_GB2312"/>
          <w:sz w:val="32"/>
          <w:szCs w:val="22"/>
        </w:rPr>
        <w:t>两用”公共基础设施布局，“平时”服务生产生活，“</w:t>
      </w:r>
      <w:r>
        <w:rPr>
          <w:rFonts w:hint="eastAsia" w:ascii="等线" w:hAnsi="等线" w:eastAsia="仿宋_GB2312"/>
          <w:sz w:val="32"/>
          <w:szCs w:val="22"/>
          <w:highlight w:val="none"/>
        </w:rPr>
        <w:t>急</w:t>
      </w:r>
      <w:r>
        <w:rPr>
          <w:rFonts w:hint="eastAsia" w:ascii="等线" w:hAnsi="等线" w:eastAsia="仿宋_GB2312"/>
          <w:sz w:val="32"/>
          <w:szCs w:val="22"/>
        </w:rPr>
        <w:t>时”转换功能、抵御风险，</w:t>
      </w:r>
      <w:r>
        <w:rPr>
          <w:rFonts w:ascii="等线" w:hAnsi="等线" w:eastAsia="仿宋_GB2312"/>
          <w:sz w:val="32"/>
          <w:szCs w:val="22"/>
        </w:rPr>
        <w:t>推动城乡资源流动</w:t>
      </w:r>
      <w:r>
        <w:rPr>
          <w:rFonts w:hint="eastAsia" w:ascii="等线" w:hAnsi="等线" w:eastAsia="仿宋_GB2312"/>
          <w:sz w:val="32"/>
          <w:szCs w:val="22"/>
        </w:rPr>
        <w:t>。</w:t>
      </w:r>
    </w:p>
    <w:p>
      <w:pPr>
        <w:spacing w:line="600" w:lineRule="exact"/>
        <w:ind w:firstLine="643" w:firstLineChars="200"/>
        <w:jc w:val="left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4.坚持共建共享、保障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权益</w:t>
      </w:r>
      <w:r>
        <w:rPr>
          <w:rFonts w:hint="eastAsia" w:ascii="仿宋_GB2312" w:hAnsi="仿宋_GB2312" w:eastAsia="仿宋_GB2312" w:cs="仿宋_GB2312"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引导并鼓励市场主体全过程、实质性、高效率参与“平急两用”公共基础设施建设和运营，探索完善相关土地政策，</w:t>
      </w:r>
      <w:r>
        <w:rPr>
          <w:rFonts w:ascii="等线" w:hAnsi="等线" w:eastAsia="仿宋_GB2312"/>
          <w:sz w:val="32"/>
          <w:szCs w:val="22"/>
        </w:rPr>
        <w:t>进一步发挥农民、</w:t>
      </w:r>
      <w:r>
        <w:rPr>
          <w:rFonts w:hint="eastAsia" w:ascii="等线" w:hAnsi="等线" w:eastAsia="仿宋_GB2312"/>
          <w:sz w:val="32"/>
          <w:szCs w:val="22"/>
        </w:rPr>
        <w:t>集体经济组织的积极性和市场机制作用，</w:t>
      </w:r>
      <w:r>
        <w:rPr>
          <w:rFonts w:ascii="等线" w:hAnsi="等线" w:eastAsia="仿宋_GB2312"/>
          <w:sz w:val="32"/>
          <w:szCs w:val="22"/>
        </w:rPr>
        <w:t>使</w:t>
      </w:r>
      <w:r>
        <w:rPr>
          <w:rFonts w:hint="eastAsia" w:ascii="等线" w:hAnsi="等线" w:eastAsia="仿宋_GB2312"/>
          <w:sz w:val="32"/>
          <w:szCs w:val="22"/>
        </w:rPr>
        <w:t>“平急两用”公共基础设施成为城乡融合发展和乡村振兴的重要资源资产。</w:t>
      </w:r>
    </w:p>
    <w:p>
      <w:pPr>
        <w:pStyle w:val="2"/>
        <w:spacing w:line="600" w:lineRule="exact"/>
        <w:ind w:firstLine="640" w:firstLineChars="200"/>
      </w:pPr>
      <w:bookmarkStart w:id="63" w:name="_Toc17508"/>
      <w:bookmarkStart w:id="64" w:name="_Toc28299"/>
      <w:bookmarkStart w:id="65" w:name="_Toc8972"/>
      <w:bookmarkStart w:id="66" w:name="_Toc26108"/>
      <w:bookmarkStart w:id="67" w:name="_Toc26067"/>
      <w:bookmarkStart w:id="68" w:name="_Toc20557"/>
      <w:bookmarkStart w:id="69" w:name="_Toc27254"/>
      <w:bookmarkStart w:id="70" w:name="_Toc11733"/>
      <w:bookmarkStart w:id="71" w:name="_Toc14494"/>
      <w:bookmarkStart w:id="72" w:name="_Toc21177"/>
      <w:bookmarkStart w:id="73" w:name="_Toc19944"/>
      <w:bookmarkStart w:id="74" w:name="_Toc31083"/>
      <w:bookmarkStart w:id="75" w:name="_Toc24453"/>
      <w:bookmarkStart w:id="76" w:name="_Toc157505083"/>
      <w:bookmarkStart w:id="77" w:name="_Toc161072039"/>
      <w:bookmarkStart w:id="78" w:name="_Toc6641"/>
      <w:bookmarkStart w:id="79" w:name="_Toc162358112"/>
      <w:bookmarkStart w:id="80" w:name="_Toc1329183577"/>
      <w:r>
        <w:rPr>
          <w:rFonts w:hint="eastAsia"/>
          <w:lang w:eastAsia="zh-CN"/>
        </w:rPr>
        <w:t>二、</w:t>
      </w:r>
      <w:r>
        <w:rPr>
          <w:rFonts w:hint="eastAsia"/>
        </w:rPr>
        <w:t>做好调查评估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rFonts w:hint="eastAsia"/>
        </w:rPr>
        <w:t>，全面梳理“平急两用”的应用场景和空间载体</w:t>
      </w:r>
      <w:bookmarkEnd w:id="79"/>
      <w:bookmarkEnd w:id="80"/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81" w:name="_Toc162358113"/>
      <w:bookmarkStart w:id="82" w:name="_Toc18384"/>
      <w:bookmarkStart w:id="83" w:name="_Toc13184"/>
      <w:bookmarkStart w:id="84" w:name="_Toc157505084"/>
      <w:bookmarkStart w:id="85" w:name="_Toc24820"/>
      <w:bookmarkStart w:id="86" w:name="_Toc16317"/>
      <w:bookmarkStart w:id="87" w:name="_Toc662159486"/>
      <w:bookmarkStart w:id="88" w:name="_Toc30139"/>
      <w:bookmarkStart w:id="89" w:name="_Toc25872"/>
      <w:bookmarkStart w:id="90" w:name="_Toc161072040"/>
      <w:bookmarkStart w:id="91" w:name="_Toc24539"/>
      <w:bookmarkStart w:id="92" w:name="_Toc10546"/>
      <w:bookmarkStart w:id="93" w:name="_Toc10938"/>
      <w:bookmarkStart w:id="94" w:name="_Toc13401"/>
      <w:bookmarkStart w:id="95" w:name="_Toc5798"/>
      <w:bookmarkStart w:id="96" w:name="_Toc6397"/>
      <w:bookmarkStart w:id="97" w:name="_Toc18387"/>
      <w:bookmarkStart w:id="98" w:name="_Toc12527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开展韧性评估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  <w:lang w:eastAsia="zh-CN"/>
        </w:rPr>
        <w:t>将韧性评估纳入规划实施“体检评估”。依托国土空间基础信息平台，整合、梳理</w:t>
      </w:r>
      <w:r>
        <w:rPr>
          <w:rFonts w:hint="eastAsia" w:ascii="等线" w:hAnsi="等线" w:eastAsia="仿宋_GB2312"/>
          <w:sz w:val="32"/>
          <w:szCs w:val="22"/>
        </w:rPr>
        <w:t>多部门多领域基础数据，重点识别新时期城市面临的自然灾害、事故灾难、公共卫生、社会安全等风险特征，鼓励运用大数据、人工智能等新技术新方法，多维度综合评估城市安全韧性水平，找出城市空间布局和基础设施配置问题和短板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99" w:name="_Toc29918"/>
      <w:bookmarkStart w:id="100" w:name="_Toc27741"/>
      <w:bookmarkStart w:id="101" w:name="_Toc29974"/>
      <w:bookmarkStart w:id="102" w:name="_Toc25551"/>
      <w:bookmarkStart w:id="103" w:name="_Toc157505085"/>
      <w:bookmarkStart w:id="104" w:name="_Toc24611"/>
      <w:bookmarkStart w:id="105" w:name="_Toc25081"/>
      <w:bookmarkStart w:id="106" w:name="_Toc20343"/>
      <w:bookmarkStart w:id="107" w:name="_Toc2364"/>
      <w:bookmarkStart w:id="108" w:name="_Toc20843"/>
      <w:bookmarkStart w:id="109" w:name="_Toc31145"/>
      <w:bookmarkStart w:id="110" w:name="_Toc21136"/>
      <w:bookmarkStart w:id="111" w:name="_Toc161072041"/>
      <w:bookmarkStart w:id="112" w:name="_Toc6549"/>
      <w:bookmarkStart w:id="113" w:name="_Toc21002"/>
      <w:bookmarkStart w:id="114" w:name="_Toc8173"/>
      <w:bookmarkStart w:id="115" w:name="_Toc513379042"/>
      <w:bookmarkStart w:id="116" w:name="_Toc162358114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开展“平急两用”应用场景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>
        <w:rPr>
          <w:rFonts w:hint="eastAsia" w:ascii="楷体_GB2312" w:hAnsi="楷体_GB2312" w:eastAsia="楷体_GB2312" w:cs="楷体_GB2312"/>
          <w:b w:val="0"/>
          <w:bCs w:val="0"/>
        </w:rPr>
        <w:t>分析</w:t>
      </w:r>
      <w:bookmarkEnd w:id="115"/>
      <w:bookmarkEnd w:id="116"/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充分考虑人口分布、土地资源、产业布局、地理环境、基础设施抗灾能力等特点，落实韧性城市建设要求，从医疗救治隔离、避难安置、疏散救援、物资供应等应急保障功能出发，全方位梳理具备“平疫”“平灾”“平赛”“平假”</w:t>
      </w:r>
      <w:r>
        <w:rPr>
          <w:rFonts w:hint="eastAsia" w:ascii="等线" w:hAnsi="等线" w:eastAsia="仿宋_GB2312"/>
          <w:sz w:val="32"/>
          <w:szCs w:val="22"/>
          <w:lang w:eastAsia="zh-CN"/>
        </w:rPr>
        <w:t>“平战”</w:t>
      </w:r>
      <w:r>
        <w:rPr>
          <w:rFonts w:hint="eastAsia" w:ascii="等线" w:hAnsi="等线" w:eastAsia="仿宋_GB2312"/>
          <w:sz w:val="32"/>
          <w:szCs w:val="22"/>
        </w:rPr>
        <w:t>等改造或建设条件的各类型“平急两用”应用场景。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17" w:name="_Toc15780"/>
      <w:bookmarkStart w:id="118" w:name="_Toc31267"/>
      <w:bookmarkStart w:id="119" w:name="_Toc20280"/>
      <w:bookmarkStart w:id="120" w:name="_Toc20677"/>
      <w:bookmarkStart w:id="121" w:name="_Toc22437"/>
      <w:bookmarkStart w:id="122" w:name="_Toc3145"/>
      <w:bookmarkStart w:id="123" w:name="_Toc9493"/>
      <w:bookmarkStart w:id="124" w:name="_Toc25287"/>
      <w:bookmarkStart w:id="125" w:name="_Toc31591"/>
      <w:bookmarkStart w:id="126" w:name="_Toc1207407763"/>
      <w:bookmarkStart w:id="127" w:name="_Toc162358115"/>
      <w:bookmarkStart w:id="128" w:name="_Toc157505086"/>
      <w:bookmarkStart w:id="129" w:name="_Toc28813"/>
      <w:bookmarkStart w:id="130" w:name="_Toc161072042"/>
      <w:bookmarkStart w:id="131" w:name="_Toc26571"/>
      <w:bookmarkStart w:id="132" w:name="_Toc24449"/>
      <w:bookmarkStart w:id="133" w:name="_Toc18709"/>
      <w:bookmarkStart w:id="134" w:name="_Toc977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</w:rPr>
        <w:t>加强资源资产调查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依托国土调查、地籍调查、不动产登记、资源资产清查等法定数据成果，梳理社区服务设施、公共管理</w:t>
      </w:r>
      <w:r>
        <w:rPr>
          <w:rFonts w:hint="eastAsia" w:ascii="等线" w:hAnsi="等线" w:eastAsia="仿宋_GB2312"/>
          <w:sz w:val="32"/>
          <w:szCs w:val="22"/>
          <w:lang w:eastAsia="zh-CN"/>
        </w:rPr>
        <w:t>与</w:t>
      </w:r>
      <w:r>
        <w:rPr>
          <w:rFonts w:hint="eastAsia" w:ascii="等线" w:hAnsi="等线" w:eastAsia="仿宋_GB2312"/>
          <w:sz w:val="32"/>
          <w:szCs w:val="22"/>
        </w:rPr>
        <w:t>公共服务设施、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商业服务业设施</w:t>
      </w:r>
      <w:r>
        <w:rPr>
          <w:rFonts w:hint="eastAsia" w:ascii="等线" w:hAnsi="等线" w:eastAsia="仿宋_GB2312"/>
          <w:sz w:val="32"/>
          <w:szCs w:val="22"/>
        </w:rPr>
        <w:t>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绿地与</w:t>
      </w:r>
      <w:r>
        <w:rPr>
          <w:rFonts w:hint="eastAsia" w:ascii="等线" w:hAnsi="等线" w:eastAsia="仿宋_GB2312"/>
          <w:sz w:val="32"/>
          <w:szCs w:val="22"/>
        </w:rPr>
        <w:t>开敞空间等符合转换条件的存量空间、潜在资源，明晰平急功能复合的主要载体。</w:t>
      </w:r>
    </w:p>
    <w:p>
      <w:pPr>
        <w:pStyle w:val="2"/>
        <w:spacing w:line="600" w:lineRule="exact"/>
        <w:ind w:firstLine="640" w:firstLineChars="200"/>
      </w:pPr>
      <w:bookmarkStart w:id="135" w:name="_Toc161072043"/>
      <w:bookmarkStart w:id="136" w:name="_Toc162358116"/>
      <w:bookmarkStart w:id="137" w:name="_Toc1002234577"/>
      <w:bookmarkStart w:id="138" w:name="_Toc27918"/>
      <w:r>
        <w:rPr>
          <w:rFonts w:hint="eastAsia"/>
          <w:lang w:eastAsia="zh-CN"/>
        </w:rPr>
        <w:t>三、</w:t>
      </w:r>
      <w:r>
        <w:rPr>
          <w:rFonts w:hint="eastAsia"/>
        </w:rPr>
        <w:t>平急功能复合的韧性城市规划指引</w:t>
      </w:r>
      <w:bookmarkEnd w:id="135"/>
      <w:bookmarkEnd w:id="136"/>
      <w:bookmarkEnd w:id="137"/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39" w:name="_Toc162358117"/>
      <w:bookmarkStart w:id="140" w:name="_Toc376519717"/>
      <w:bookmarkStart w:id="141" w:name="_Toc161072044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开展平急功能复合的空间需求分析</w:t>
      </w:r>
      <w:bookmarkEnd w:id="139"/>
      <w:bookmarkEnd w:id="140"/>
      <w:bookmarkEnd w:id="141"/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基于韧性评估、应用场景分析、资源资产调查，科学预测</w:t>
      </w:r>
      <w:r>
        <w:rPr>
          <w:rFonts w:hint="eastAsia" w:ascii="仿宋_GB2312" w:hAnsi="等线" w:eastAsia="仿宋_GB2312"/>
          <w:sz w:val="32"/>
          <w:szCs w:val="22"/>
        </w:rPr>
        <w:t>“急时”</w:t>
      </w:r>
      <w:r>
        <w:rPr>
          <w:rFonts w:ascii="等线" w:hAnsi="等线" w:eastAsia="仿宋_GB2312"/>
          <w:sz w:val="32"/>
          <w:szCs w:val="22"/>
        </w:rPr>
        <w:t>安置人口规模、特征和公共</w:t>
      </w:r>
      <w:r>
        <w:rPr>
          <w:rFonts w:hint="eastAsia" w:ascii="等线" w:hAnsi="等线" w:eastAsia="仿宋_GB2312"/>
          <w:sz w:val="32"/>
          <w:szCs w:val="22"/>
          <w:lang w:eastAsia="zh-CN"/>
        </w:rPr>
        <w:t>服务设施、</w:t>
      </w:r>
      <w:r>
        <w:rPr>
          <w:rFonts w:ascii="等线" w:hAnsi="等线" w:eastAsia="仿宋_GB2312"/>
          <w:sz w:val="32"/>
          <w:szCs w:val="22"/>
        </w:rPr>
        <w:t>基础设施用地需求，明确城乡人地匹配关系，为科学精准应对各类</w:t>
      </w:r>
      <w:r>
        <w:rPr>
          <w:rFonts w:hint="eastAsia" w:ascii="仿宋_GB2312" w:hAnsi="等线" w:eastAsia="仿宋_GB2312"/>
          <w:sz w:val="32"/>
          <w:szCs w:val="22"/>
        </w:rPr>
        <w:t>“急时”</w:t>
      </w:r>
      <w:r>
        <w:rPr>
          <w:rFonts w:ascii="等线" w:hAnsi="等线" w:eastAsia="仿宋_GB2312"/>
          <w:sz w:val="32"/>
          <w:szCs w:val="22"/>
        </w:rPr>
        <w:t>风险</w:t>
      </w:r>
      <w:r>
        <w:rPr>
          <w:rFonts w:hint="eastAsia" w:ascii="等线" w:hAnsi="等线" w:eastAsia="仿宋_GB2312"/>
          <w:sz w:val="32"/>
          <w:szCs w:val="22"/>
        </w:rPr>
        <w:t>及</w:t>
      </w:r>
      <w:r>
        <w:rPr>
          <w:rFonts w:ascii="等线" w:hAnsi="等线" w:eastAsia="仿宋_GB2312"/>
          <w:sz w:val="32"/>
          <w:szCs w:val="22"/>
        </w:rPr>
        <w:t>设施安排提供有效指引。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42" w:name="_Toc161072045"/>
      <w:bookmarkStart w:id="143" w:name="_Toc162358118"/>
      <w:bookmarkStart w:id="144" w:name="_Toc1058370307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研究制定平急功能复合的规划目标</w:t>
      </w:r>
      <w:bookmarkEnd w:id="142"/>
      <w:bookmarkEnd w:id="143"/>
      <w:bookmarkEnd w:id="144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规划目标。</w:t>
      </w:r>
      <w:r>
        <w:rPr>
          <w:rFonts w:hint="eastAsia" w:ascii="等线" w:hAnsi="等线" w:eastAsia="仿宋_GB2312"/>
          <w:sz w:val="32"/>
          <w:szCs w:val="22"/>
        </w:rPr>
        <w:t>提出平急功能复合的总体要求，从提升灾害风险预防应对能力出发，合理确定平急功能复合的规划目标和要求。</w:t>
      </w:r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指标体系。</w:t>
      </w:r>
      <w:r>
        <w:rPr>
          <w:rFonts w:hint="eastAsia" w:ascii="等线" w:hAnsi="等线" w:eastAsia="仿宋_GB2312"/>
          <w:sz w:val="32"/>
          <w:szCs w:val="22"/>
        </w:rPr>
        <w:t>统筹综合防灾、公共卫生、</w:t>
      </w:r>
      <w:r>
        <w:rPr>
          <w:rFonts w:hint="eastAsia" w:ascii="等线" w:hAnsi="等线" w:eastAsia="仿宋_GB2312"/>
          <w:sz w:val="32"/>
          <w:szCs w:val="22"/>
          <w:lang w:val="en-US" w:eastAsia="zh-CN"/>
        </w:rPr>
        <w:t>地下空间</w:t>
      </w:r>
      <w:r>
        <w:rPr>
          <w:rFonts w:hint="eastAsia" w:ascii="等线" w:hAnsi="等线" w:eastAsia="仿宋_GB2312"/>
          <w:sz w:val="32"/>
          <w:szCs w:val="22"/>
        </w:rPr>
        <w:t>、物流体系等专项规划的目标与指标，结合地方发展阶段和特征，从功能类型、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空间结构、</w:t>
      </w:r>
      <w:r>
        <w:rPr>
          <w:rFonts w:hint="eastAsia" w:ascii="等线" w:hAnsi="等线" w:eastAsia="仿宋_GB2312"/>
          <w:sz w:val="32"/>
          <w:szCs w:val="22"/>
        </w:rPr>
        <w:t>建设规模、转换标准等方面，确定平急功能复合的量化指标。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45" w:name="_Toc4370"/>
      <w:bookmarkStart w:id="146" w:name="_Toc14320"/>
      <w:bookmarkStart w:id="147" w:name="_Toc12136"/>
      <w:bookmarkStart w:id="148" w:name="_Toc27700"/>
      <w:bookmarkStart w:id="149" w:name="_Toc28418"/>
      <w:bookmarkStart w:id="150" w:name="_Toc15359"/>
      <w:bookmarkStart w:id="151" w:name="_Toc14143"/>
      <w:bookmarkStart w:id="152" w:name="_Toc12629"/>
      <w:bookmarkStart w:id="153" w:name="_Toc7873"/>
      <w:bookmarkStart w:id="154" w:name="_Toc18701"/>
      <w:bookmarkStart w:id="155" w:name="_Toc13852"/>
      <w:bookmarkStart w:id="156" w:name="_Toc161072046"/>
      <w:bookmarkStart w:id="157" w:name="_Toc1363741326"/>
      <w:bookmarkStart w:id="158" w:name="_Toc162358119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</w:rPr>
        <w:t>统筹城乡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>
        <w:rPr>
          <w:rFonts w:hint="eastAsia" w:ascii="楷体_GB2312" w:hAnsi="楷体_GB2312" w:eastAsia="楷体_GB2312" w:cs="楷体_GB2312"/>
          <w:b w:val="0"/>
          <w:bCs w:val="0"/>
        </w:rPr>
        <w:t>“平急两用”公共基础设施</w:t>
      </w:r>
      <w:bookmarkEnd w:id="156"/>
      <w:r>
        <w:rPr>
          <w:rFonts w:hint="eastAsia" w:ascii="楷体_GB2312" w:hAnsi="楷体_GB2312" w:eastAsia="楷体_GB2312" w:cs="楷体_GB2312"/>
          <w:b w:val="0"/>
          <w:bCs w:val="0"/>
        </w:rPr>
        <w:t>布局</w:t>
      </w:r>
      <w:bookmarkEnd w:id="157"/>
      <w:bookmarkEnd w:id="158"/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总体布局。</w:t>
      </w:r>
      <w:r>
        <w:rPr>
          <w:rFonts w:hint="eastAsia" w:ascii="等线" w:hAnsi="等线" w:eastAsia="仿宋_GB2312"/>
          <w:sz w:val="32"/>
          <w:szCs w:val="22"/>
          <w:lang w:eastAsia="zh-CN"/>
        </w:rPr>
        <w:t>结合城乡生活圈规划构建城市健康安全单元和安全基础设施网络，明</w:t>
      </w:r>
      <w:r>
        <w:rPr>
          <w:rFonts w:hint="eastAsia" w:ascii="等线" w:hAnsi="等线" w:eastAsia="仿宋_GB2312"/>
          <w:sz w:val="32"/>
          <w:szCs w:val="22"/>
        </w:rPr>
        <w:t>确适应不同灾种、城乡一体、分级响应的“平急两用”公共基础设施的空间布局方案，重点强化乡村地区对</w:t>
      </w:r>
      <w:r>
        <w:rPr>
          <w:rFonts w:hint="eastAsia" w:ascii="等线" w:hAnsi="等线" w:eastAsia="仿宋_GB2312"/>
          <w:sz w:val="32"/>
          <w:szCs w:val="22"/>
          <w:lang w:eastAsia="zh-CN"/>
        </w:rPr>
        <w:t>大</w:t>
      </w:r>
      <w:r>
        <w:rPr>
          <w:rFonts w:hint="eastAsia" w:ascii="等线" w:hAnsi="等线" w:eastAsia="仿宋_GB2312"/>
          <w:sz w:val="32"/>
          <w:szCs w:val="22"/>
        </w:rPr>
        <w:t>城市安全韧性的支撑保障作用。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平急功能复合区。</w:t>
      </w:r>
      <w:r>
        <w:rPr>
          <w:rFonts w:hint="eastAsia" w:ascii="等线" w:hAnsi="等线" w:eastAsia="仿宋_GB2312"/>
          <w:sz w:val="32"/>
          <w:szCs w:val="22"/>
        </w:rPr>
        <w:t>结合</w:t>
      </w:r>
      <w:r>
        <w:rPr>
          <w:rFonts w:hint="eastAsia" w:ascii="等线" w:hAnsi="等线" w:eastAsia="仿宋_GB2312"/>
          <w:sz w:val="32"/>
          <w:szCs w:val="22"/>
          <w:lang w:eastAsia="zh-CN"/>
        </w:rPr>
        <w:t>都市圈、城乡生活圈的人口社会、资源禀赋、经济活动、公共服务设施和基础设施、用地结构</w:t>
      </w:r>
      <w:r>
        <w:rPr>
          <w:rFonts w:hint="eastAsia" w:ascii="等线" w:hAnsi="等线" w:eastAsia="仿宋_GB2312"/>
          <w:sz w:val="32"/>
          <w:szCs w:val="22"/>
        </w:rPr>
        <w:t>等特征，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兼顾行政管理事权在规划中</w:t>
      </w:r>
      <w:r>
        <w:rPr>
          <w:rFonts w:hint="eastAsia" w:ascii="等线" w:hAnsi="等线" w:eastAsia="仿宋_GB2312"/>
          <w:sz w:val="32"/>
          <w:szCs w:val="22"/>
        </w:rPr>
        <w:t>划</w:t>
      </w:r>
      <w:r>
        <w:rPr>
          <w:rFonts w:hint="eastAsia" w:ascii="等线" w:hAnsi="等线" w:eastAsia="仿宋_GB2312"/>
          <w:sz w:val="32"/>
          <w:szCs w:val="22"/>
          <w:lang w:eastAsia="zh-CN"/>
        </w:rPr>
        <w:t>定</w:t>
      </w:r>
      <w:r>
        <w:rPr>
          <w:rFonts w:hint="eastAsia" w:ascii="等线" w:hAnsi="等线" w:eastAsia="仿宋_GB2312"/>
          <w:sz w:val="32"/>
          <w:szCs w:val="22"/>
        </w:rPr>
        <w:t>平急功能复合区，明确“平急两用”公共基础设施配置类型、规模等布局要求。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应急保障通道。</w:t>
      </w:r>
      <w:r>
        <w:rPr>
          <w:rFonts w:hint="eastAsia" w:ascii="等线" w:hAnsi="等线" w:eastAsia="仿宋_GB2312"/>
          <w:sz w:val="32"/>
          <w:szCs w:val="22"/>
        </w:rPr>
        <w:t>梳理对外联系的交通廊道和可发挥应急救援疏散功能的道路，构建应急救援疏散运输通道网络，保障应急物资供应通道畅通，适度提高生命线工程的冗余度。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应急保障节点。</w:t>
      </w:r>
      <w:r>
        <w:rPr>
          <w:rFonts w:hint="eastAsia" w:ascii="等线" w:hAnsi="等线" w:eastAsia="仿宋_GB2312"/>
          <w:sz w:val="32"/>
          <w:szCs w:val="22"/>
        </w:rPr>
        <w:t>统筹空间与设施、城市与社区、城镇与乡村，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着力</w:t>
      </w:r>
      <w:r>
        <w:rPr>
          <w:rFonts w:hint="eastAsia" w:ascii="等线" w:hAnsi="等线" w:eastAsia="仿宋_GB2312"/>
          <w:sz w:val="32"/>
          <w:szCs w:val="22"/>
        </w:rPr>
        <w:t>加强应急医疗、物资保障、旅居隔离等“平急两用”公共基础设施节点</w:t>
      </w:r>
      <w:r>
        <w:rPr>
          <w:rFonts w:hint="eastAsia" w:ascii="等线" w:hAnsi="等线" w:eastAsia="仿宋_GB2312"/>
          <w:sz w:val="32"/>
          <w:szCs w:val="22"/>
          <w:lang w:eastAsia="zh-CN"/>
        </w:rPr>
        <w:t>的规划安排</w:t>
      </w:r>
      <w:r>
        <w:rPr>
          <w:rFonts w:hint="eastAsia" w:ascii="等线" w:hAnsi="等线" w:eastAsia="仿宋_GB2312"/>
          <w:sz w:val="32"/>
          <w:szCs w:val="22"/>
        </w:rPr>
        <w:t>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59" w:name="_Toc9969"/>
      <w:bookmarkStart w:id="160" w:name="_Toc28560"/>
      <w:bookmarkStart w:id="161" w:name="_Toc7853"/>
      <w:bookmarkStart w:id="162" w:name="_Toc5994"/>
      <w:bookmarkStart w:id="163" w:name="_Toc4722"/>
      <w:bookmarkStart w:id="164" w:name="_Toc31646"/>
      <w:bookmarkStart w:id="165" w:name="_Toc25932"/>
      <w:bookmarkStart w:id="166" w:name="_Toc24123"/>
      <w:bookmarkStart w:id="167" w:name="_Toc13991"/>
      <w:bookmarkStart w:id="168" w:name="_Toc14211"/>
      <w:bookmarkStart w:id="169" w:name="_Toc20949"/>
      <w:bookmarkStart w:id="170" w:name="_Toc162358120"/>
      <w:bookmarkStart w:id="171" w:name="_Toc6092912"/>
      <w:bookmarkStart w:id="172" w:name="_Toc161072047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</w:rPr>
        <w:t>明确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rFonts w:hint="eastAsia" w:ascii="楷体_GB2312" w:hAnsi="楷体_GB2312" w:eastAsia="楷体_GB2312" w:cs="楷体_GB2312"/>
          <w:b w:val="0"/>
          <w:bCs w:val="0"/>
        </w:rPr>
        <w:t>“平急两用”公共基础设施功能转换与复合利用要求</w:t>
      </w:r>
      <w:bookmarkEnd w:id="170"/>
      <w:bookmarkEnd w:id="171"/>
      <w:bookmarkEnd w:id="172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充分发挥城市各类设施应急保障作用。</w:t>
      </w:r>
      <w:r>
        <w:rPr>
          <w:rFonts w:hint="eastAsia" w:ascii="等线" w:hAnsi="等线" w:eastAsia="仿宋_GB2312"/>
          <w:sz w:val="32"/>
          <w:szCs w:val="22"/>
        </w:rPr>
        <w:t>以安全等级高、空间容量大、交通便捷的体育场馆、展览中心、应急医疗、大型文化教育设施等公共服务设施为重点，明确“平时”和“急时”规划设计要求。鼓励市政基础设施用地复合利用，“急时”具备地上空间对外开放及应急避难保障功能。鼓励商业商务楼宇、宾馆酒店、餐饮设施、工业厂房等在规划建设过程中融入平急功能复合及可转换设计理念。充分考虑场地条件、平整程度、绿化方式等要求，引导具备平急功能复合条件的绿</w:t>
      </w:r>
      <w:r>
        <w:rPr>
          <w:rFonts w:hint="eastAsia" w:ascii="等线" w:hAnsi="等线" w:eastAsia="仿宋_GB2312"/>
          <w:sz w:val="32"/>
          <w:szCs w:val="22"/>
          <w:lang w:eastAsia="zh-CN"/>
        </w:rPr>
        <w:t>地与</w:t>
      </w:r>
      <w:r>
        <w:rPr>
          <w:rFonts w:hint="eastAsia" w:ascii="等线" w:hAnsi="等线" w:eastAsia="仿宋_GB2312"/>
          <w:sz w:val="32"/>
          <w:szCs w:val="22"/>
        </w:rPr>
        <w:t>开敞空间建设。针对具备平急转换条件的城市战略性留白用地，按需预留市政、交通设施接入条件。</w:t>
      </w:r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提升社区应急响应能力。</w:t>
      </w:r>
      <w:r>
        <w:rPr>
          <w:rFonts w:hint="eastAsia" w:ascii="等线" w:hAnsi="等线" w:eastAsia="仿宋_GB2312"/>
          <w:sz w:val="32"/>
          <w:szCs w:val="22"/>
        </w:rPr>
        <w:t>以社区生活圈为基础，推动</w:t>
      </w:r>
      <w:r>
        <w:rPr>
          <w:rFonts w:ascii="等线" w:hAnsi="等线" w:eastAsia="仿宋_GB2312"/>
          <w:sz w:val="32"/>
          <w:szCs w:val="22"/>
        </w:rPr>
        <w:t>城</w:t>
      </w:r>
      <w:r>
        <w:rPr>
          <w:rFonts w:hint="eastAsia" w:ascii="等线" w:hAnsi="等线" w:eastAsia="仿宋_GB2312"/>
          <w:sz w:val="32"/>
          <w:szCs w:val="22"/>
          <w:lang w:eastAsia="zh-CN"/>
        </w:rPr>
        <w:t>市</w:t>
      </w:r>
      <w:r>
        <w:rPr>
          <w:rFonts w:ascii="等线" w:hAnsi="等线" w:eastAsia="仿宋_GB2312"/>
          <w:sz w:val="32"/>
          <w:szCs w:val="22"/>
        </w:rPr>
        <w:t>健康安全单元</w:t>
      </w:r>
      <w:r>
        <w:rPr>
          <w:rFonts w:hint="eastAsia" w:ascii="等线" w:hAnsi="等线" w:eastAsia="仿宋_GB2312"/>
          <w:sz w:val="32"/>
          <w:szCs w:val="22"/>
          <w:lang w:eastAsia="zh-CN"/>
        </w:rPr>
        <w:t>规划</w:t>
      </w:r>
      <w:r>
        <w:rPr>
          <w:rFonts w:hint="eastAsia" w:ascii="等线" w:hAnsi="等线" w:eastAsia="仿宋_GB2312"/>
          <w:sz w:val="32"/>
          <w:szCs w:val="22"/>
        </w:rPr>
        <w:t>建设，整体提升基层防灾避险和自救互救能力。强化社区基本公共服务、社区商业等的应急保障和快速转换能力，以党群服务中心、社区嵌入式服务设施等建设改造为契机，适当提升综合防灾标准，打造灾时能够保障居民安全、提供避难救援条件、具备对外通信联络能力的“安全岛”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促进村庄建设用地平急功能复合利用。</w:t>
      </w:r>
      <w:r>
        <w:rPr>
          <w:rFonts w:hint="eastAsia" w:ascii="等线" w:hAnsi="等线" w:eastAsia="仿宋_GB2312"/>
          <w:sz w:val="32"/>
          <w:szCs w:val="22"/>
        </w:rPr>
        <w:t>结合乡村振兴，以行政村为基础单元，通过存量空间与设施共建共享、平急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功能</w:t>
      </w:r>
      <w:r>
        <w:rPr>
          <w:rFonts w:hint="eastAsia" w:ascii="等线" w:hAnsi="等线" w:eastAsia="仿宋_GB2312"/>
          <w:sz w:val="32"/>
          <w:szCs w:val="22"/>
        </w:rPr>
        <w:t>复合利用等方式，盘活乡村集体土地，完善应急避难场所、疏散通道等应急避难设施布局，补齐消防、物资储备等救灾保障设施短板，优化具有平急转换能力的</w:t>
      </w:r>
      <w:r>
        <w:rPr>
          <w:rFonts w:ascii="等线" w:hAnsi="等线" w:eastAsia="仿宋_GB2312"/>
          <w:sz w:val="32"/>
          <w:szCs w:val="22"/>
        </w:rPr>
        <w:t>供水、供电、污水、环卫、防洪排涝、抗震</w:t>
      </w:r>
      <w:r>
        <w:rPr>
          <w:rFonts w:hint="eastAsia" w:ascii="等线" w:hAnsi="等线" w:eastAsia="仿宋_GB2312"/>
          <w:sz w:val="32"/>
          <w:szCs w:val="22"/>
        </w:rPr>
        <w:t>等生命线保障系统。</w:t>
      </w:r>
    </w:p>
    <w:bookmarkEnd w:id="138"/>
    <w:p>
      <w:pPr>
        <w:pStyle w:val="2"/>
        <w:spacing w:line="600" w:lineRule="exact"/>
        <w:ind w:firstLine="640" w:firstLineChars="200"/>
      </w:pPr>
      <w:bookmarkStart w:id="173" w:name="_Toc1262311551"/>
      <w:bookmarkStart w:id="174" w:name="_Toc161072048"/>
      <w:bookmarkStart w:id="175" w:name="_Toc162358121"/>
      <w:bookmarkStart w:id="176" w:name="_Toc21269"/>
      <w:bookmarkStart w:id="177" w:name="_Toc4914"/>
      <w:bookmarkStart w:id="178" w:name="_Toc154586985"/>
      <w:bookmarkStart w:id="179" w:name="_Toc2194"/>
      <w:bookmarkStart w:id="180" w:name="_Toc15928"/>
      <w:r>
        <w:rPr>
          <w:rFonts w:hint="eastAsia"/>
          <w:lang w:eastAsia="zh-CN"/>
        </w:rPr>
        <w:t>四、</w:t>
      </w:r>
      <w:r>
        <w:rPr>
          <w:rFonts w:hint="eastAsia"/>
        </w:rPr>
        <w:t>将平急功能复合的要求纳入国土空间规划体系</w:t>
      </w:r>
      <w:bookmarkEnd w:id="173"/>
      <w:bookmarkEnd w:id="174"/>
      <w:bookmarkEnd w:id="175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  <w:lang w:eastAsia="zh-CN"/>
        </w:rPr>
        <w:t>城市</w:t>
      </w:r>
      <w:r>
        <w:rPr>
          <w:rFonts w:hint="eastAsia" w:ascii="等线" w:hAnsi="等线" w:eastAsia="仿宋_GB2312"/>
          <w:sz w:val="32"/>
          <w:szCs w:val="22"/>
        </w:rPr>
        <w:t>国土空间规划的编制实施应根据城市发展目标、阶段特征和安全韧性需要，完善平急功能复合的韧性城市规划内容和管理要求。应深化完善国土空间总体规划（以下简称“总体规划”）相关内容，对于总体规划已完成编制但未明确“平急两用”工作的城市，应在国土空间</w:t>
      </w:r>
      <w:r>
        <w:rPr>
          <w:rFonts w:hint="eastAsia" w:ascii="等线" w:hAnsi="等线" w:eastAsia="仿宋_GB2312"/>
          <w:sz w:val="32"/>
          <w:szCs w:val="22"/>
          <w:lang w:eastAsia="zh-CN"/>
        </w:rPr>
        <w:t>详细规划及</w:t>
      </w:r>
      <w:r>
        <w:rPr>
          <w:rFonts w:hint="eastAsia" w:ascii="等线" w:hAnsi="等线" w:eastAsia="仿宋_GB2312"/>
          <w:sz w:val="32"/>
          <w:szCs w:val="22"/>
        </w:rPr>
        <w:t>近期</w:t>
      </w:r>
      <w:r>
        <w:rPr>
          <w:rFonts w:hint="eastAsia" w:ascii="等线" w:hAnsi="等线" w:eastAsia="仿宋_GB2312"/>
          <w:sz w:val="32"/>
          <w:szCs w:val="22"/>
          <w:lang w:eastAsia="zh-CN"/>
        </w:rPr>
        <w:t>建设</w:t>
      </w:r>
      <w:r>
        <w:rPr>
          <w:rFonts w:hint="eastAsia" w:ascii="等线" w:hAnsi="等线" w:eastAsia="仿宋_GB2312"/>
          <w:sz w:val="32"/>
          <w:szCs w:val="22"/>
        </w:rPr>
        <w:t>规划中做出安排。</w:t>
      </w:r>
      <w:r>
        <w:rPr>
          <w:rFonts w:hint="eastAsia" w:ascii="等线" w:hAnsi="等线" w:eastAsia="仿宋_GB2312"/>
          <w:sz w:val="32"/>
          <w:szCs w:val="22"/>
          <w:lang w:eastAsia="zh-CN"/>
        </w:rPr>
        <w:t>可</w:t>
      </w:r>
      <w:r>
        <w:rPr>
          <w:rFonts w:hint="eastAsia" w:ascii="等线" w:hAnsi="等线" w:eastAsia="仿宋_GB2312"/>
          <w:sz w:val="32"/>
          <w:szCs w:val="22"/>
        </w:rPr>
        <w:t>按需编制平急功能复合的韧性城市专项规划，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并</w:t>
      </w:r>
      <w:r>
        <w:rPr>
          <w:rFonts w:hint="eastAsia" w:ascii="等线" w:hAnsi="等线" w:eastAsia="仿宋_GB2312"/>
          <w:sz w:val="32"/>
          <w:szCs w:val="22"/>
        </w:rPr>
        <w:t>将依法批准的专项规划主要内容传导到详细规划。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181" w:name="_Toc19976"/>
      <w:bookmarkStart w:id="182" w:name="_Toc154586974"/>
      <w:bookmarkStart w:id="183" w:name="_Toc2510"/>
      <w:bookmarkStart w:id="184" w:name="_Toc16748"/>
      <w:bookmarkStart w:id="185" w:name="_Toc759"/>
      <w:bookmarkStart w:id="186" w:name="_Toc22629"/>
      <w:bookmarkStart w:id="187" w:name="_Toc19490"/>
      <w:bookmarkStart w:id="188" w:name="_Toc7015"/>
      <w:bookmarkStart w:id="189" w:name="_Toc162358122"/>
      <w:bookmarkStart w:id="190" w:name="_Toc31840"/>
      <w:bookmarkStart w:id="191" w:name="_Toc12881"/>
      <w:bookmarkStart w:id="192" w:name="_Toc20633"/>
      <w:bookmarkStart w:id="193" w:name="_Toc1916"/>
      <w:bookmarkStart w:id="194" w:name="_Toc2057"/>
      <w:bookmarkStart w:id="195" w:name="_Toc948"/>
      <w:bookmarkStart w:id="196" w:name="_Toc1181"/>
      <w:bookmarkStart w:id="197" w:name="_Toc161072049"/>
      <w:bookmarkStart w:id="198" w:name="_Toc22347"/>
      <w:bookmarkStart w:id="199" w:name="_Toc1958382389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总体规划</w:t>
      </w:r>
      <w:bookmarkEnd w:id="181"/>
      <w:bookmarkEnd w:id="182"/>
      <w:r>
        <w:rPr>
          <w:rFonts w:hint="eastAsia" w:ascii="楷体_GB2312" w:hAnsi="楷体_GB2312" w:eastAsia="楷体_GB2312" w:cs="楷体_GB2312"/>
          <w:b w:val="0"/>
          <w:bCs w:val="0"/>
        </w:rPr>
        <w:t>层面做好空间统筹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全域统筹，构建城乡安全格局。</w:t>
      </w:r>
      <w:r>
        <w:rPr>
          <w:rFonts w:hint="eastAsia" w:ascii="等线" w:hAnsi="等线" w:eastAsia="仿宋_GB2312"/>
          <w:sz w:val="32"/>
          <w:szCs w:val="22"/>
        </w:rPr>
        <w:t>结合国土空间主要灾害类型和平急功能复合的需求与特征，明确平急功能复合的规划目标、原则、工作重点。从优化城乡安全格局、全域统筹角度，提出平急功能复合的国土空间布局总体要求，预留一定的应急用地作为“急时”战略留白空间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val="en-US" w:eastAsia="zh-CN"/>
        </w:rPr>
        <w:t>2.统筹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推进近期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规划编制，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有序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保障用地需求。</w:t>
      </w:r>
      <w:r>
        <w:rPr>
          <w:rFonts w:hint="eastAsia" w:ascii="等线" w:hAnsi="等线" w:eastAsia="仿宋_GB2312"/>
          <w:sz w:val="32"/>
          <w:szCs w:val="22"/>
        </w:rPr>
        <w:t>衔接国民经济和社会发展五年规划，对近期“平急两用”公共基础设施做出空间安排，明确应急医疗、物资保障、旅居隔离等不同场景设施行动计划和项目清单，完善相关配套政策。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200" w:name="_Toc154586976"/>
      <w:bookmarkStart w:id="201" w:name="_Toc15343"/>
      <w:bookmarkStart w:id="202" w:name="_Toc29469"/>
      <w:bookmarkStart w:id="203" w:name="_Toc162358123"/>
      <w:bookmarkStart w:id="204" w:name="_Toc32342"/>
      <w:bookmarkStart w:id="205" w:name="_Toc27943"/>
      <w:bookmarkStart w:id="206" w:name="_Toc22725"/>
      <w:bookmarkStart w:id="207" w:name="_Toc17528"/>
      <w:bookmarkStart w:id="208" w:name="_Toc11446"/>
      <w:bookmarkStart w:id="209" w:name="_Toc31058"/>
      <w:bookmarkStart w:id="210" w:name="_Toc31658"/>
      <w:bookmarkStart w:id="211" w:name="_Toc16382"/>
      <w:bookmarkStart w:id="212" w:name="_Toc2156"/>
      <w:bookmarkStart w:id="213" w:name="_Toc16978"/>
      <w:bookmarkStart w:id="214" w:name="_Toc685955781"/>
      <w:bookmarkStart w:id="215" w:name="_Toc30837"/>
      <w:bookmarkStart w:id="216" w:name="_Toc161072052"/>
      <w:bookmarkStart w:id="217" w:name="_Toc779"/>
      <w:bookmarkStart w:id="218" w:name="_Toc10309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详细规划</w:t>
      </w:r>
      <w:bookmarkEnd w:id="200"/>
      <w:bookmarkEnd w:id="201"/>
      <w:r>
        <w:rPr>
          <w:rFonts w:hint="eastAsia" w:ascii="楷体_GB2312" w:hAnsi="楷体_GB2312" w:eastAsia="楷体_GB2312" w:cs="楷体_GB2312"/>
          <w:b w:val="0"/>
          <w:bCs w:val="0"/>
        </w:rPr>
        <w:t>中明确相关用地的管控和引导要求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bookmarkEnd w:id="176"/>
    <w:bookmarkEnd w:id="177"/>
    <w:bookmarkEnd w:id="178"/>
    <w:bookmarkEnd w:id="179"/>
    <w:bookmarkEnd w:id="180"/>
    <w:p>
      <w:pPr>
        <w:spacing w:line="600" w:lineRule="exact"/>
        <w:ind w:firstLine="643" w:firstLineChars="200"/>
        <w:jc w:val="left"/>
        <w:rPr>
          <w:rFonts w:ascii="等线" w:hAnsi="等线" w:eastAsia="仿宋_GB2312"/>
          <w:sz w:val="32"/>
          <w:szCs w:val="22"/>
        </w:rPr>
      </w:pPr>
      <w:bookmarkStart w:id="219" w:name="_Toc19697"/>
      <w:bookmarkStart w:id="220" w:name="_Toc25833"/>
      <w:bookmarkStart w:id="221" w:name="_Toc31505"/>
      <w:bookmarkStart w:id="222" w:name="_Toc24914"/>
      <w:bookmarkStart w:id="223" w:name="_Toc17573"/>
      <w:bookmarkStart w:id="224" w:name="_Toc6080"/>
      <w:bookmarkStart w:id="225" w:name="_Toc17192"/>
      <w:bookmarkStart w:id="226" w:name="_Toc5048"/>
      <w:bookmarkStart w:id="227" w:name="_Toc8058"/>
      <w:bookmarkStart w:id="228" w:name="_Toc28715"/>
      <w:bookmarkStart w:id="229" w:name="_Toc3422"/>
      <w:bookmarkStart w:id="230" w:name="_Toc12034"/>
      <w:bookmarkStart w:id="231" w:name="_Toc7298"/>
      <w:bookmarkStart w:id="232" w:name="_Toc27360"/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城镇开发边界内的详细规划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包括单元和实施两个层面。单元层面应分解落实总体规划在规划指标、空间布局的相关要求，明确社区</w:t>
      </w:r>
      <w:r>
        <w:rPr>
          <w:rFonts w:hint="eastAsia" w:ascii="等线" w:hAnsi="等线" w:eastAsia="仿宋_GB2312"/>
          <w:sz w:val="32"/>
          <w:szCs w:val="22"/>
          <w:lang w:eastAsia="zh-CN"/>
        </w:rPr>
        <w:t>服务设施</w:t>
      </w:r>
      <w:r>
        <w:rPr>
          <w:rFonts w:hint="eastAsia" w:ascii="等线" w:hAnsi="等线" w:eastAsia="仿宋_GB2312"/>
          <w:sz w:val="32"/>
          <w:szCs w:val="22"/>
        </w:rPr>
        <w:t>、公共管理</w:t>
      </w:r>
      <w:r>
        <w:rPr>
          <w:rFonts w:hint="eastAsia" w:ascii="等线" w:hAnsi="等线" w:eastAsia="仿宋_GB2312"/>
          <w:sz w:val="32"/>
          <w:szCs w:val="22"/>
          <w:lang w:eastAsia="zh-CN"/>
        </w:rPr>
        <w:t>与</w:t>
      </w:r>
      <w:r>
        <w:rPr>
          <w:rFonts w:hint="eastAsia" w:ascii="等线" w:hAnsi="等线" w:eastAsia="仿宋_GB2312"/>
          <w:sz w:val="32"/>
          <w:szCs w:val="22"/>
        </w:rPr>
        <w:t>公共服务设施、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商业服务业</w:t>
      </w:r>
      <w:r>
        <w:rPr>
          <w:rFonts w:hint="eastAsia" w:ascii="等线" w:hAnsi="等线" w:eastAsia="仿宋_GB2312"/>
          <w:sz w:val="32"/>
          <w:szCs w:val="22"/>
        </w:rPr>
        <w:t>设施、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绿地与开敞</w:t>
      </w:r>
      <w:r>
        <w:rPr>
          <w:rFonts w:hint="eastAsia" w:ascii="等线" w:hAnsi="等线" w:eastAsia="仿宋_GB2312"/>
          <w:sz w:val="32"/>
          <w:szCs w:val="22"/>
        </w:rPr>
        <w:t>空间、规划留白空间等不同类型“平急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两用</w:t>
      </w:r>
      <w:r>
        <w:rPr>
          <w:rFonts w:hint="eastAsia" w:ascii="等线" w:hAnsi="等线" w:eastAsia="仿宋_GB2312"/>
          <w:sz w:val="32"/>
          <w:szCs w:val="22"/>
        </w:rPr>
        <w:t>”</w:t>
      </w:r>
      <w:r>
        <w:rPr>
          <w:rFonts w:hint="eastAsia" w:ascii="等线" w:hAnsi="等线" w:eastAsia="仿宋_GB2312"/>
          <w:sz w:val="32"/>
          <w:szCs w:val="22"/>
          <w:lang w:eastAsia="zh-CN"/>
        </w:rPr>
        <w:t>空间</w:t>
      </w:r>
      <w:r>
        <w:rPr>
          <w:rFonts w:hint="eastAsia" w:ascii="等线" w:hAnsi="等线" w:eastAsia="仿宋_GB2312"/>
          <w:sz w:val="32"/>
          <w:szCs w:val="22"/>
        </w:rPr>
        <w:t>资源的用地选址、用地规模、承载规模、功能转换、相关配套要求。实施层面结合不同场景需要、权属关系，确定不同类型“平急两用”空间资源的用地边界和各项基本管控引导要求，平急功能转换和复合利用等应急使用要求。</w:t>
      </w:r>
    </w:p>
    <w:p>
      <w:pPr>
        <w:spacing w:line="600" w:lineRule="exact"/>
        <w:ind w:firstLine="643" w:firstLineChars="200"/>
        <w:jc w:val="left"/>
        <w:rPr>
          <w:rFonts w:ascii="等线" w:hAnsi="等线" w:eastAsia="仿宋_GB2312"/>
          <w:sz w:val="32"/>
          <w:szCs w:val="22"/>
        </w:rPr>
      </w:pPr>
      <w:bookmarkStart w:id="233" w:name="_Toc10105"/>
      <w:bookmarkStart w:id="234" w:name="_Toc23727"/>
      <w:bookmarkStart w:id="235" w:name="_Toc10517"/>
      <w:bookmarkStart w:id="236" w:name="_Toc21886"/>
      <w:bookmarkStart w:id="237" w:name="_Toc17346"/>
      <w:bookmarkStart w:id="238" w:name="_Toc3856"/>
      <w:bookmarkStart w:id="239" w:name="_Toc31519"/>
      <w:bookmarkStart w:id="240" w:name="_Toc4665"/>
      <w:bookmarkStart w:id="241" w:name="_Toc9189"/>
      <w:bookmarkStart w:id="242" w:name="_Toc8964"/>
      <w:bookmarkStart w:id="243" w:name="_Toc5863"/>
      <w:bookmarkStart w:id="244" w:name="_Toc31520"/>
      <w:bookmarkStart w:id="245" w:name="_Toc15025"/>
      <w:bookmarkStart w:id="246" w:name="_Toc7967"/>
      <w:r>
        <w:rPr>
          <w:rFonts w:hint="eastAsia" w:ascii="等线" w:hAnsi="等线" w:eastAsia="仿宋_GB2312"/>
          <w:b/>
          <w:sz w:val="32"/>
          <w:szCs w:val="22"/>
        </w:rPr>
        <w:t>城镇开发边界外的村庄规划及其他类型详细规划</w:t>
      </w:r>
      <w:bookmarkEnd w:id="233"/>
      <w:bookmarkEnd w:id="234"/>
      <w:bookmarkEnd w:id="235"/>
      <w:r>
        <w:rPr>
          <w:rFonts w:hint="eastAsia" w:ascii="等线" w:hAnsi="等线" w:eastAsia="仿宋_GB2312"/>
          <w:b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充分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>
      <w:pPr>
        <w:spacing w:line="600" w:lineRule="exact"/>
        <w:ind w:firstLine="0" w:firstLineChars="0"/>
        <w:jc w:val="left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利用乡村闲置的公共服务设施、宅基地、集体经营性建设用地，布局“平急两用”公共基础设施，明确用地管控、功能转换等要求。结合民宿、乡村休闲综合体、旅游酒店、康养设施改造，植入隔离、转移安置、生活救助和健康服务等</w:t>
      </w:r>
      <w:r>
        <w:rPr>
          <w:rFonts w:hint="eastAsia" w:ascii="等线" w:hAnsi="等线" w:eastAsia="仿宋_GB2312"/>
          <w:sz w:val="32"/>
          <w:szCs w:val="22"/>
          <w:lang w:eastAsia="zh-CN"/>
        </w:rPr>
        <w:t>“</w:t>
      </w:r>
      <w:r>
        <w:rPr>
          <w:rFonts w:hint="eastAsia" w:ascii="等线" w:hAnsi="等线" w:eastAsia="仿宋_GB2312"/>
          <w:sz w:val="32"/>
          <w:szCs w:val="22"/>
        </w:rPr>
        <w:t>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时”</w:t>
      </w:r>
      <w:r>
        <w:rPr>
          <w:rFonts w:hint="eastAsia" w:ascii="等线" w:hAnsi="等线" w:eastAsia="仿宋_GB2312"/>
          <w:sz w:val="32"/>
          <w:szCs w:val="22"/>
        </w:rPr>
        <w:t>功能；利用活动场地等开敞空间，设置应急避难场所；利用公共服务、物流、旅游等设施，嵌入物资储备、应急医疗服务点等应急保障功能。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247" w:name="_Toc1531867418"/>
      <w:bookmarkStart w:id="248" w:name="_Toc162358124"/>
      <w:bookmarkStart w:id="249" w:name="_Toc154586988"/>
      <w:bookmarkStart w:id="250" w:name="_Toc12016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</w:rPr>
        <w:t>专项规划中细化应用场景配置要求和设施布局</w:t>
      </w:r>
      <w:bookmarkEnd w:id="247"/>
      <w:bookmarkEnd w:id="248"/>
    </w:p>
    <w:p>
      <w:pPr>
        <w:spacing w:line="60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深化落实总体规划工作重点和布局要求，衔接近期建设规划，细化目标、指标和空间需求，划定平急功能复合区，统筹协调“平急两用”公共基础设施与综合防灾、公共卫生、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地下空间</w:t>
      </w:r>
      <w:r>
        <w:rPr>
          <w:rFonts w:hint="eastAsia" w:ascii="等线" w:hAnsi="等线" w:eastAsia="仿宋_GB2312"/>
          <w:sz w:val="32"/>
          <w:szCs w:val="22"/>
        </w:rPr>
        <w:t>、物流等设施的空间布局，明确不同平急功能复合应用场景的配置要求</w:t>
      </w:r>
      <w:r>
        <w:rPr>
          <w:rFonts w:ascii="等线" w:hAnsi="等线" w:eastAsia="仿宋_GB2312"/>
          <w:sz w:val="32"/>
          <w:szCs w:val="22"/>
        </w:rPr>
        <w:t>。</w:t>
      </w:r>
    </w:p>
    <w:p>
      <w:pPr>
        <w:pStyle w:val="2"/>
        <w:spacing w:line="600" w:lineRule="exact"/>
        <w:ind w:firstLine="640" w:firstLineChars="200"/>
      </w:pPr>
      <w:r>
        <w:t xml:space="preserve"> </w:t>
      </w:r>
      <w:bookmarkStart w:id="251" w:name="_Toc161072053"/>
      <w:bookmarkStart w:id="252" w:name="_Toc162358125"/>
      <w:bookmarkStart w:id="253" w:name="_Toc1805272645"/>
      <w:r>
        <w:rPr>
          <w:rFonts w:hint="eastAsia"/>
          <w:lang w:eastAsia="zh-CN"/>
        </w:rPr>
        <w:t>五、</w:t>
      </w:r>
      <w:r>
        <w:rPr>
          <w:rFonts w:hint="eastAsia"/>
        </w:rPr>
        <w:t>完善“平急两用”公共基础设施项目实施的政策保障</w:t>
      </w:r>
      <w:bookmarkEnd w:id="251"/>
      <w:bookmarkEnd w:id="252"/>
      <w:bookmarkEnd w:id="253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为保障“平急两用”公共基础设施项目落地实施，优先鼓励列入“平急两用”公共基础设施建设城市名单的城市结合自身情况</w:t>
      </w:r>
      <w:r>
        <w:rPr>
          <w:rFonts w:hint="eastAsia" w:ascii="等线" w:hAnsi="等线" w:eastAsia="仿宋_GB2312"/>
          <w:sz w:val="32"/>
          <w:szCs w:val="22"/>
          <w:lang w:eastAsia="zh-CN"/>
        </w:rPr>
        <w:t>，</w:t>
      </w:r>
      <w:r>
        <w:rPr>
          <w:rFonts w:hint="eastAsia" w:ascii="等线" w:hAnsi="等线" w:eastAsia="仿宋_GB2312"/>
          <w:sz w:val="32"/>
          <w:szCs w:val="22"/>
        </w:rPr>
        <w:t>开展相关土地政策探索创新，吸引多元主体参与项目建设与运营维护。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254" w:name="_Toc1905539937"/>
      <w:bookmarkStart w:id="255" w:name="_Toc162358126"/>
      <w:bookmarkStart w:id="256" w:name="_Toc27719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明确供地支持政策</w:t>
      </w:r>
      <w:bookmarkEnd w:id="254"/>
      <w:bookmarkEnd w:id="255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  <w:highlight w:val="none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优先保障用地计划</w:t>
      </w:r>
      <w:r>
        <w:rPr>
          <w:rFonts w:hint="eastAsia" w:ascii="等线" w:hAnsi="等线" w:eastAsia="仿宋_GB2312"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  <w:highlight w:val="none"/>
        </w:rPr>
        <w:t>支持将符合国土空间规划的“平急两用”公共基础设施项目纳入国家重大项目清单，依据清单配置</w:t>
      </w:r>
      <w:r>
        <w:rPr>
          <w:rFonts w:hint="eastAsia" w:ascii="等线" w:hAnsi="等线" w:eastAsia="仿宋_GB2312"/>
          <w:sz w:val="32"/>
          <w:szCs w:val="22"/>
          <w:highlight w:val="none"/>
          <w:lang w:eastAsia="zh-CN"/>
        </w:rPr>
        <w:t>国家</w:t>
      </w:r>
      <w:r>
        <w:rPr>
          <w:rFonts w:hint="eastAsia" w:ascii="等线" w:hAnsi="等线" w:eastAsia="仿宋_GB2312"/>
          <w:sz w:val="32"/>
          <w:szCs w:val="22"/>
          <w:highlight w:val="none"/>
        </w:rPr>
        <w:t>指标。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bookmarkStart w:id="257" w:name="_Hlk161999064"/>
      <w:r>
        <w:rPr>
          <w:rFonts w:hint="eastAsia" w:ascii="等线" w:hAnsi="等线" w:eastAsia="仿宋_GB2312" w:cs="Times New Roman"/>
          <w:b/>
          <w:bCs/>
          <w:sz w:val="32"/>
          <w:szCs w:val="22"/>
        </w:rPr>
        <w:t>合理使用集体建设用地。</w:t>
      </w:r>
      <w:bookmarkStart w:id="258" w:name="_Toc16191"/>
      <w:r>
        <w:rPr>
          <w:rFonts w:hint="eastAsia" w:ascii="等线" w:hAnsi="等线" w:eastAsia="仿宋_GB2312"/>
          <w:sz w:val="32"/>
          <w:szCs w:val="22"/>
        </w:rPr>
        <w:t>“平急两用”公共基础设施项目可采取入股、联营等方式使用农村集体建设用地；按国家部署开展农村集体经营性建设用地入市的地区，可采取出让、出租等方式使用农村集体建设用地。鼓励与村集体共建“平急两用”公共基础设施项目，避免集体建设用地“泛商业化”开发，杜绝不符合要求的项目变相“搭车”。</w:t>
      </w:r>
      <w:bookmarkEnd w:id="257"/>
      <w:bookmarkEnd w:id="258"/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  <w:lang w:eastAsia="zh-CN"/>
        </w:rPr>
        <w:t>分期缴纳土地价款。</w:t>
      </w:r>
      <w:r>
        <w:rPr>
          <w:rFonts w:hint="eastAsia" w:ascii="等线" w:hAnsi="等线" w:eastAsia="仿宋_GB2312"/>
          <w:sz w:val="32"/>
          <w:szCs w:val="22"/>
        </w:rPr>
        <w:t>在应急状态下启用土地建设“平急两用”公共基础设施项目，可依照有关政策规定准许延期或分期缴纳土地</w:t>
      </w:r>
      <w:r>
        <w:rPr>
          <w:rFonts w:hint="eastAsia" w:ascii="等线" w:hAnsi="等线" w:eastAsia="仿宋_GB2312"/>
          <w:sz w:val="32"/>
          <w:szCs w:val="22"/>
          <w:lang w:eastAsia="zh-CN"/>
        </w:rPr>
        <w:t>价款</w:t>
      </w:r>
      <w:r>
        <w:rPr>
          <w:rFonts w:hint="eastAsia" w:ascii="等线" w:hAnsi="等线" w:eastAsia="仿宋_GB2312"/>
          <w:sz w:val="32"/>
          <w:szCs w:val="22"/>
        </w:rPr>
        <w:t>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  <w:lang w:eastAsia="zh-CN"/>
        </w:rPr>
        <w:t>合理确定混合用地土地使用年限和出让底价。</w:t>
      </w:r>
      <w:r>
        <w:rPr>
          <w:rFonts w:hint="eastAsia" w:ascii="等线" w:hAnsi="等线" w:eastAsia="仿宋_GB2312"/>
          <w:sz w:val="32"/>
          <w:szCs w:val="22"/>
          <w:lang w:eastAsia="zh-CN"/>
        </w:rPr>
        <w:t>单宗土地涉及多种用途混合的</w:t>
      </w:r>
      <w:r>
        <w:rPr>
          <w:rFonts w:hint="eastAsia" w:ascii="等线" w:hAnsi="等线" w:eastAsia="仿宋_GB2312"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应依法依规合理确定土地使用年限，按</w:t>
      </w:r>
      <w:r>
        <w:rPr>
          <w:rFonts w:hint="eastAsia" w:ascii="等线" w:hAnsi="等线" w:eastAsia="仿宋_GB2312"/>
          <w:sz w:val="32"/>
          <w:szCs w:val="22"/>
        </w:rPr>
        <w:t>不同用途分项评估后确定</w:t>
      </w:r>
      <w:r>
        <w:rPr>
          <w:rFonts w:ascii="等线" w:hAnsi="等线" w:eastAsia="仿宋_GB2312"/>
          <w:sz w:val="32"/>
          <w:szCs w:val="22"/>
        </w:rPr>
        <w:t>出让底价</w:t>
      </w:r>
      <w:r>
        <w:rPr>
          <w:rFonts w:hint="eastAsia" w:ascii="等线" w:hAnsi="等线" w:eastAsia="仿宋_GB2312"/>
          <w:sz w:val="32"/>
          <w:szCs w:val="22"/>
        </w:rPr>
        <w:t>。</w:t>
      </w:r>
    </w:p>
    <w:bookmarkEnd w:id="256"/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259" w:name="_Toc463913086"/>
      <w:bookmarkStart w:id="260" w:name="_Toc162358127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优化用途管制工具</w:t>
      </w:r>
      <w:bookmarkEnd w:id="259"/>
      <w:bookmarkEnd w:id="260"/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 w:cs="Times New Roman"/>
          <w:b/>
          <w:bCs/>
          <w:sz w:val="32"/>
          <w:szCs w:val="22"/>
        </w:rPr>
        <w:t>积极参与选址选线。</w:t>
      </w:r>
      <w:r>
        <w:rPr>
          <w:rFonts w:hint="eastAsia" w:ascii="等线" w:hAnsi="等线" w:eastAsia="仿宋_GB2312"/>
          <w:sz w:val="32"/>
          <w:szCs w:val="22"/>
        </w:rPr>
        <w:t>“平急两用”公共基础设施项目在开展可行性研究初始阶段，地方自然资源主管部门应</w:t>
      </w:r>
      <w:r>
        <w:rPr>
          <w:rFonts w:ascii="等线" w:hAnsi="等线" w:eastAsia="仿宋_GB2312"/>
          <w:sz w:val="32"/>
          <w:szCs w:val="22"/>
        </w:rPr>
        <w:t>加强项目前期服务，依</w:t>
      </w:r>
      <w:r>
        <w:rPr>
          <w:rFonts w:ascii="等线" w:hAnsi="等线" w:eastAsia="仿宋_GB2312"/>
          <w:color w:val="auto"/>
          <w:sz w:val="32"/>
          <w:szCs w:val="22"/>
        </w:rPr>
        <w:t>据</w:t>
      </w:r>
      <w:r>
        <w:rPr>
          <w:rFonts w:hint="eastAsia" w:ascii="等线" w:hAnsi="等线" w:eastAsia="仿宋_GB2312"/>
          <w:color w:val="auto"/>
          <w:sz w:val="32"/>
          <w:szCs w:val="22"/>
          <w:lang w:eastAsia="zh-CN"/>
        </w:rPr>
        <w:t>国土空间规划和用途管制</w:t>
      </w:r>
      <w:r>
        <w:rPr>
          <w:rFonts w:ascii="等线" w:hAnsi="等线" w:eastAsia="仿宋_GB2312"/>
          <w:color w:val="auto"/>
          <w:sz w:val="32"/>
          <w:szCs w:val="22"/>
        </w:rPr>
        <w:t>要求</w:t>
      </w:r>
      <w:r>
        <w:rPr>
          <w:rFonts w:hint="eastAsia" w:ascii="等线" w:hAnsi="等线" w:eastAsia="仿宋_GB2312"/>
          <w:color w:val="auto"/>
          <w:sz w:val="32"/>
          <w:szCs w:val="22"/>
          <w:lang w:eastAsia="zh-CN"/>
        </w:rPr>
        <w:t>，</w:t>
      </w:r>
      <w:r>
        <w:rPr>
          <w:rFonts w:ascii="等线" w:hAnsi="等线" w:eastAsia="仿宋_GB2312"/>
          <w:sz w:val="32"/>
          <w:szCs w:val="22"/>
        </w:rPr>
        <w:t>积极参与项目选址选线工作</w:t>
      </w:r>
      <w:r>
        <w:rPr>
          <w:rFonts w:hint="default" w:ascii="等线" w:hAnsi="等线" w:eastAsia="仿宋_GB2312"/>
          <w:sz w:val="32"/>
          <w:szCs w:val="22"/>
          <w:lang w:val="en"/>
        </w:rPr>
        <w:t>,</w:t>
      </w:r>
      <w:r>
        <w:rPr>
          <w:rFonts w:hint="eastAsia" w:ascii="等线" w:hAnsi="等线" w:eastAsia="仿宋_GB2312"/>
          <w:sz w:val="32"/>
          <w:szCs w:val="22"/>
        </w:rPr>
        <w:t>重点关注红线底线要素并提出建设性意见</w:t>
      </w:r>
      <w:r>
        <w:rPr>
          <w:rFonts w:hint="eastAsia" w:ascii="等线" w:hAnsi="等线" w:eastAsia="仿宋_GB2312"/>
          <w:sz w:val="32"/>
          <w:szCs w:val="22"/>
          <w:lang w:eastAsia="zh-CN"/>
        </w:rPr>
        <w:t>，</w:t>
      </w:r>
      <w:r>
        <w:rPr>
          <w:rFonts w:hint="eastAsia" w:ascii="等线" w:hAnsi="等线" w:eastAsia="仿宋_GB2312"/>
          <w:sz w:val="32"/>
          <w:szCs w:val="22"/>
        </w:rPr>
        <w:t>需</w:t>
      </w:r>
      <w:r>
        <w:rPr>
          <w:rFonts w:ascii="等线" w:hAnsi="等线" w:eastAsia="仿宋_GB2312"/>
          <w:sz w:val="32"/>
          <w:szCs w:val="22"/>
        </w:rPr>
        <w:t>开展规划选址综合论证</w:t>
      </w:r>
      <w:r>
        <w:rPr>
          <w:rFonts w:hint="eastAsia" w:ascii="等线" w:hAnsi="等线" w:eastAsia="仿宋_GB2312"/>
          <w:sz w:val="32"/>
          <w:szCs w:val="22"/>
          <w:highlight w:val="none"/>
          <w:lang w:eastAsia="zh-CN"/>
        </w:rPr>
        <w:t>的</w:t>
      </w:r>
      <w:r>
        <w:rPr>
          <w:rFonts w:ascii="等线" w:hAnsi="等线" w:eastAsia="仿宋_GB2312"/>
          <w:sz w:val="32"/>
          <w:szCs w:val="22"/>
        </w:rPr>
        <w:t>，按要求整合现行论证事项，论证报告作为建设项目用地预审与选址意见书的申报材料</w:t>
      </w:r>
      <w:r>
        <w:rPr>
          <w:rFonts w:hint="eastAsia" w:ascii="等线" w:hAnsi="等线" w:eastAsia="仿宋_GB2312"/>
          <w:sz w:val="32"/>
          <w:szCs w:val="22"/>
        </w:rPr>
        <w:t>。</w:t>
      </w:r>
    </w:p>
    <w:p>
      <w:pPr>
        <w:spacing w:line="600" w:lineRule="exact"/>
        <w:ind w:firstLine="643" w:firstLineChars="200"/>
        <w:rPr>
          <w:rFonts w:ascii="等线" w:hAnsi="等线" w:eastAsia="仿宋_GB2312"/>
          <w:sz w:val="32"/>
          <w:szCs w:val="22"/>
          <w:highlight w:val="none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优化规划许可管理。</w:t>
      </w:r>
      <w:r>
        <w:rPr>
          <w:rFonts w:hint="eastAsia" w:ascii="等线" w:hAnsi="等线" w:eastAsia="仿宋_GB2312"/>
          <w:sz w:val="32"/>
          <w:szCs w:val="22"/>
        </w:rPr>
        <w:t>针对不同的“平急两用”公共基础设施项目，结合平急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功能</w:t>
      </w:r>
      <w:r>
        <w:rPr>
          <w:rFonts w:hint="eastAsia" w:ascii="等线" w:hAnsi="等线" w:eastAsia="仿宋_GB2312"/>
          <w:sz w:val="32"/>
          <w:szCs w:val="22"/>
        </w:rPr>
        <w:t>转换需求，鼓励通过空间分层、分区利用等方式实现功能复合利用</w:t>
      </w:r>
      <w:r>
        <w:rPr>
          <w:rFonts w:hint="eastAsia" w:ascii="等线" w:hAnsi="等线" w:eastAsia="仿宋_GB2312"/>
          <w:sz w:val="32"/>
          <w:szCs w:val="22"/>
          <w:lang w:val="en-US" w:eastAsia="zh-CN"/>
        </w:rPr>
        <w:t>。</w:t>
      </w:r>
      <w:r>
        <w:rPr>
          <w:rFonts w:hint="eastAsia" w:ascii="等线" w:hAnsi="等线" w:eastAsia="仿宋_GB2312"/>
          <w:sz w:val="32"/>
          <w:szCs w:val="22"/>
        </w:rPr>
        <w:t>鼓励在符合安全规范要求的情况下充分开发利用地下空间</w:t>
      </w:r>
      <w:r>
        <w:rPr>
          <w:rFonts w:hint="eastAsia" w:ascii="等线" w:hAnsi="等线" w:eastAsia="仿宋_GB2312"/>
          <w:sz w:val="32"/>
          <w:szCs w:val="22"/>
          <w:lang w:eastAsia="zh-CN"/>
        </w:rPr>
        <w:t>。将建设项目“平时”“急时”不同情景下的设计用途和弹性兼容安排纳入</w:t>
      </w:r>
      <w:r>
        <w:rPr>
          <w:rFonts w:hint="eastAsia" w:ascii="等线" w:hAnsi="等线" w:eastAsia="仿宋_GB2312"/>
          <w:sz w:val="32"/>
          <w:szCs w:val="22"/>
        </w:rPr>
        <w:t>规划许可管理内容和流程</w:t>
      </w:r>
      <w:r>
        <w:rPr>
          <w:rFonts w:hint="eastAsia" w:ascii="等线" w:hAnsi="等线" w:eastAsia="仿宋_GB2312"/>
          <w:sz w:val="32"/>
          <w:szCs w:val="22"/>
          <w:lang w:eastAsia="zh-CN"/>
        </w:rPr>
        <w:t>，</w:t>
      </w:r>
      <w:r>
        <w:rPr>
          <w:rFonts w:hint="eastAsia" w:ascii="等线" w:hAnsi="等线" w:eastAsia="仿宋_GB2312"/>
          <w:sz w:val="32"/>
          <w:szCs w:val="22"/>
        </w:rPr>
        <w:t>并做好各环节衔接联动。区分平急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功能转换中</w:t>
      </w:r>
      <w:r>
        <w:rPr>
          <w:rFonts w:hint="eastAsia" w:ascii="等线" w:hAnsi="等线" w:eastAsia="仿宋_GB2312"/>
          <w:sz w:val="32"/>
          <w:szCs w:val="22"/>
        </w:rPr>
        <w:t>新建、改建、扩建等</w:t>
      </w:r>
      <w:r>
        <w:rPr>
          <w:rFonts w:hint="eastAsia" w:ascii="等线" w:hAnsi="等线" w:eastAsia="仿宋_GB2312"/>
          <w:sz w:val="32"/>
          <w:szCs w:val="22"/>
          <w:lang w:eastAsia="zh-CN"/>
        </w:rPr>
        <w:t>不同情形</w:t>
      </w:r>
      <w:r>
        <w:rPr>
          <w:rFonts w:hint="eastAsia" w:ascii="等线" w:hAnsi="等线" w:eastAsia="仿宋_GB2312"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  <w:highlight w:val="none"/>
          <w:lang w:eastAsia="zh-CN"/>
        </w:rPr>
        <w:t>鼓励地方探索制定</w:t>
      </w:r>
      <w:r>
        <w:rPr>
          <w:rFonts w:hint="eastAsia" w:ascii="等线" w:hAnsi="等线" w:eastAsia="仿宋_GB2312"/>
          <w:sz w:val="32"/>
          <w:szCs w:val="22"/>
          <w:highlight w:val="none"/>
        </w:rPr>
        <w:t>规划许可</w:t>
      </w:r>
      <w:r>
        <w:rPr>
          <w:rFonts w:hint="eastAsia" w:ascii="等线" w:hAnsi="等线" w:eastAsia="仿宋_GB2312"/>
          <w:sz w:val="32"/>
          <w:szCs w:val="22"/>
          <w:highlight w:val="none"/>
          <w:lang w:eastAsia="zh-CN"/>
        </w:rPr>
        <w:t>豁免清单并完善监管机制，支撑</w:t>
      </w:r>
      <w:r>
        <w:rPr>
          <w:rFonts w:hint="eastAsia" w:ascii="等线" w:hAnsi="等线" w:eastAsia="仿宋_GB2312"/>
          <w:sz w:val="32"/>
          <w:szCs w:val="22"/>
        </w:rPr>
        <w:t>平急</w:t>
      </w:r>
      <w:r>
        <w:rPr>
          <w:rFonts w:hint="eastAsia" w:ascii="等线" w:hAnsi="等线" w:eastAsia="仿宋_GB2312"/>
          <w:sz w:val="32"/>
          <w:szCs w:val="22"/>
          <w:lang w:eastAsia="zh-CN"/>
        </w:rPr>
        <w:t>功能</w:t>
      </w:r>
      <w:r>
        <w:rPr>
          <w:rFonts w:hint="eastAsia" w:ascii="等线" w:hAnsi="等线" w:eastAsia="仿宋_GB2312"/>
          <w:sz w:val="32"/>
          <w:szCs w:val="22"/>
          <w:highlight w:val="none"/>
          <w:lang w:eastAsia="zh-CN"/>
        </w:rPr>
        <w:t>快速转换</w:t>
      </w:r>
      <w:r>
        <w:rPr>
          <w:rFonts w:hint="eastAsia" w:ascii="等线" w:hAnsi="等线" w:eastAsia="仿宋_GB2312"/>
          <w:sz w:val="32"/>
          <w:szCs w:val="22"/>
          <w:highlight w:val="none"/>
        </w:rPr>
        <w:t>。</w:t>
      </w:r>
    </w:p>
    <w:p>
      <w:pPr>
        <w:spacing w:line="600" w:lineRule="exact"/>
        <w:ind w:firstLine="643" w:firstLineChars="200"/>
        <w:rPr>
          <w:rFonts w:hint="eastAsia"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允许应急状态下“先建再补”。</w:t>
      </w:r>
      <w:r>
        <w:rPr>
          <w:rFonts w:ascii="等线" w:hAnsi="等线" w:eastAsia="仿宋_GB2312"/>
          <w:sz w:val="32"/>
          <w:szCs w:val="22"/>
        </w:rPr>
        <w:t>在应急状态下，</w:t>
      </w:r>
      <w:r>
        <w:rPr>
          <w:rFonts w:hint="eastAsia" w:ascii="等线" w:hAnsi="等线" w:eastAsia="仿宋_GB2312"/>
          <w:sz w:val="32"/>
          <w:szCs w:val="22"/>
        </w:rPr>
        <w:t>允许“平急两用”公共基础设施项目</w:t>
      </w:r>
      <w:r>
        <w:rPr>
          <w:rFonts w:ascii="等线" w:hAnsi="等线" w:eastAsia="仿宋_GB2312"/>
          <w:sz w:val="32"/>
          <w:szCs w:val="22"/>
        </w:rPr>
        <w:t>先行</w:t>
      </w:r>
      <w:r>
        <w:rPr>
          <w:rFonts w:hint="eastAsia" w:ascii="等线" w:hAnsi="等线" w:eastAsia="仿宋_GB2312"/>
          <w:sz w:val="32"/>
          <w:szCs w:val="22"/>
        </w:rPr>
        <w:t>使用土地</w:t>
      </w:r>
      <w:r>
        <w:rPr>
          <w:rFonts w:hint="eastAsia" w:ascii="等线" w:hAnsi="等线" w:eastAsia="仿宋_GB2312"/>
          <w:sz w:val="32"/>
          <w:szCs w:val="22"/>
          <w:lang w:eastAsia="zh-CN"/>
        </w:rPr>
        <w:t>。</w:t>
      </w:r>
      <w:r>
        <w:rPr>
          <w:rFonts w:ascii="等线" w:hAnsi="等线" w:eastAsia="仿宋_GB2312"/>
          <w:sz w:val="32"/>
          <w:szCs w:val="22"/>
        </w:rPr>
        <w:t>属于永久性用地的，应急状态结束后</w:t>
      </w:r>
      <w:r>
        <w:rPr>
          <w:rFonts w:hint="eastAsia" w:ascii="等线" w:hAnsi="等线" w:eastAsia="仿宋_GB2312"/>
          <w:sz w:val="32"/>
          <w:szCs w:val="22"/>
        </w:rPr>
        <w:t>，在规定期限</w:t>
      </w:r>
      <w:r>
        <w:rPr>
          <w:rFonts w:ascii="等线" w:hAnsi="等线" w:eastAsia="仿宋_GB2312"/>
          <w:sz w:val="32"/>
          <w:szCs w:val="22"/>
        </w:rPr>
        <w:t>内完善用地</w:t>
      </w:r>
      <w:r>
        <w:rPr>
          <w:rFonts w:hint="eastAsia" w:ascii="等线" w:hAnsi="等线" w:eastAsia="仿宋_GB2312"/>
          <w:sz w:val="32"/>
          <w:szCs w:val="22"/>
        </w:rPr>
        <w:t>审批</w:t>
      </w:r>
      <w:r>
        <w:rPr>
          <w:rFonts w:ascii="等线" w:hAnsi="等线" w:eastAsia="仿宋_GB2312"/>
          <w:sz w:val="32"/>
          <w:szCs w:val="22"/>
        </w:rPr>
        <w:t>手续</w:t>
      </w:r>
      <w:r>
        <w:rPr>
          <w:rFonts w:hint="eastAsia" w:ascii="等线" w:hAnsi="等线" w:eastAsia="仿宋_GB2312"/>
          <w:sz w:val="32"/>
          <w:szCs w:val="22"/>
        </w:rPr>
        <w:t>；属于</w:t>
      </w:r>
      <w:r>
        <w:rPr>
          <w:rFonts w:ascii="等线" w:hAnsi="等线" w:eastAsia="仿宋_GB2312"/>
          <w:sz w:val="32"/>
          <w:szCs w:val="22"/>
        </w:rPr>
        <w:t>临时用地的，使用结束后恢复原状</w:t>
      </w:r>
      <w:r>
        <w:rPr>
          <w:rFonts w:hint="eastAsia" w:ascii="等线" w:hAnsi="等线" w:eastAsia="仿宋_GB2312"/>
          <w:sz w:val="32"/>
          <w:szCs w:val="22"/>
        </w:rPr>
        <w:t>并</w:t>
      </w:r>
      <w:r>
        <w:rPr>
          <w:rFonts w:ascii="等线" w:hAnsi="等线" w:eastAsia="仿宋_GB2312"/>
          <w:sz w:val="32"/>
          <w:szCs w:val="22"/>
        </w:rPr>
        <w:t>交还原土地使用者，</w:t>
      </w:r>
      <w:r>
        <w:rPr>
          <w:rFonts w:hint="eastAsia" w:ascii="等线" w:hAnsi="等线" w:eastAsia="仿宋_GB2312"/>
          <w:sz w:val="32"/>
          <w:szCs w:val="22"/>
        </w:rPr>
        <w:t>不再办理用地审批手续</w:t>
      </w:r>
      <w:r>
        <w:rPr>
          <w:rFonts w:ascii="等线" w:hAnsi="等线" w:eastAsia="仿宋_GB2312"/>
          <w:sz w:val="32"/>
          <w:szCs w:val="22"/>
        </w:rPr>
        <w:t>。</w:t>
      </w:r>
    </w:p>
    <w:p>
      <w:pPr>
        <w:pStyle w:val="3"/>
        <w:spacing w:line="600" w:lineRule="exact"/>
        <w:ind w:firstLine="643"/>
        <w:rPr>
          <w:rFonts w:hint="eastAsia" w:ascii="楷体_GB2312" w:hAnsi="楷体_GB2312" w:eastAsia="楷体_GB2312" w:cs="楷体_GB2312"/>
          <w:b w:val="0"/>
          <w:bCs w:val="0"/>
        </w:rPr>
      </w:pPr>
      <w:bookmarkStart w:id="261" w:name="_Toc14023"/>
      <w:bookmarkStart w:id="262" w:name="_Toc1032"/>
      <w:bookmarkStart w:id="263" w:name="_Toc20453"/>
      <w:bookmarkStart w:id="264" w:name="_Toc13256"/>
      <w:bookmarkStart w:id="265" w:name="_Toc12689"/>
      <w:bookmarkStart w:id="266" w:name="_Toc3472"/>
      <w:bookmarkStart w:id="267" w:name="_Toc1657978773"/>
      <w:bookmarkStart w:id="268" w:name="_Toc2601"/>
      <w:bookmarkStart w:id="269" w:name="_Toc17594"/>
      <w:bookmarkStart w:id="270" w:name="_Toc162358128"/>
      <w:bookmarkStart w:id="271" w:name="_Toc16920"/>
      <w:bookmarkStart w:id="272" w:name="_Toc26426"/>
      <w:bookmarkStart w:id="273" w:name="_Toc26113"/>
      <w:bookmarkStart w:id="274" w:name="_Toc17263"/>
      <w:bookmarkStart w:id="275" w:name="_Toc11723"/>
      <w:bookmarkStart w:id="276" w:name="_Toc161072055"/>
      <w:bookmarkStart w:id="277" w:name="_Toc13036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</w:rPr>
        <w:t>鼓励利用存量低效土地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bookmarkStart w:id="278" w:name="_Toc13737"/>
      <w:bookmarkStart w:id="279" w:name="_Toc18862"/>
      <w:bookmarkStart w:id="280" w:name="_Toc24607"/>
      <w:r>
        <w:rPr>
          <w:rFonts w:hint="eastAsia" w:ascii="等线" w:hAnsi="等线" w:eastAsia="仿宋_GB2312"/>
          <w:sz w:val="32"/>
          <w:szCs w:val="22"/>
        </w:rPr>
        <w:t>各地可结合低效用地再开发等政策文件精神，积极盘活</w:t>
      </w:r>
      <w:r>
        <w:rPr>
          <w:rFonts w:hint="eastAsia" w:ascii="等线" w:hAnsi="等线" w:eastAsia="仿宋_GB2312"/>
          <w:sz w:val="32"/>
          <w:szCs w:val="22"/>
          <w:lang w:eastAsia="zh-CN"/>
        </w:rPr>
        <w:t>利用存量空间</w:t>
      </w:r>
      <w:r>
        <w:rPr>
          <w:rFonts w:hint="eastAsia" w:ascii="等线" w:hAnsi="等线" w:eastAsia="仿宋_GB2312"/>
          <w:sz w:val="32"/>
          <w:szCs w:val="22"/>
        </w:rPr>
        <w:t>资源</w:t>
      </w:r>
      <w:r>
        <w:rPr>
          <w:rFonts w:hint="eastAsia" w:ascii="等线" w:hAnsi="等线" w:eastAsia="仿宋_GB2312"/>
          <w:sz w:val="32"/>
          <w:szCs w:val="22"/>
          <w:lang w:eastAsia="zh-CN"/>
        </w:rPr>
        <w:t>，</w:t>
      </w:r>
      <w:r>
        <w:rPr>
          <w:rFonts w:hint="eastAsia" w:ascii="等线" w:hAnsi="等线" w:eastAsia="仿宋_GB2312"/>
          <w:sz w:val="32"/>
          <w:szCs w:val="22"/>
        </w:rPr>
        <w:t>在对周边不产生负面影响的前提下，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用于</w:t>
      </w:r>
      <w:r>
        <w:rPr>
          <w:rFonts w:hint="eastAsia" w:ascii="等线" w:hAnsi="等线" w:eastAsia="仿宋_GB2312"/>
          <w:sz w:val="32"/>
          <w:szCs w:val="22"/>
        </w:rPr>
        <w:t>“平急两用”公共基础设施项目。在符合规划、不改变用途的前提下，因完善“急时”功能而增加容积率的，可不再增收土地价款。</w:t>
      </w:r>
      <w:bookmarkEnd w:id="278"/>
      <w:bookmarkEnd w:id="279"/>
      <w:bookmarkEnd w:id="280"/>
    </w:p>
    <w:p>
      <w:pPr>
        <w:pStyle w:val="2"/>
        <w:spacing w:line="600" w:lineRule="exact"/>
        <w:ind w:firstLine="640" w:firstLineChars="200"/>
      </w:pPr>
      <w:bookmarkStart w:id="281" w:name="_Toc29085"/>
      <w:bookmarkStart w:id="282" w:name="_Toc10742"/>
      <w:bookmarkStart w:id="283" w:name="_Toc8002"/>
      <w:bookmarkStart w:id="284" w:name="_Toc13427"/>
      <w:bookmarkStart w:id="285" w:name="_Toc3793"/>
      <w:bookmarkStart w:id="286" w:name="_Toc23036"/>
      <w:bookmarkStart w:id="287" w:name="_Toc27502"/>
      <w:bookmarkStart w:id="288" w:name="_Toc28237"/>
      <w:bookmarkStart w:id="289" w:name="_Toc9010"/>
      <w:bookmarkStart w:id="290" w:name="_Toc2020"/>
      <w:bookmarkStart w:id="291" w:name="_Toc12517"/>
      <w:bookmarkStart w:id="292" w:name="_Toc162358130"/>
      <w:bookmarkStart w:id="293" w:name="_Toc21174"/>
      <w:bookmarkStart w:id="294" w:name="_Toc2930"/>
      <w:bookmarkStart w:id="295" w:name="_Toc161072057"/>
      <w:bookmarkStart w:id="296" w:name="_Toc14729"/>
      <w:bookmarkStart w:id="297" w:name="_Toc1160324870"/>
      <w:r>
        <w:rPr>
          <w:rFonts w:hint="eastAsia"/>
          <w:lang w:eastAsia="zh-CN"/>
        </w:rPr>
        <w:t>六、</w:t>
      </w:r>
      <w:r>
        <w:rPr>
          <w:rFonts w:hint="eastAsia"/>
        </w:rPr>
        <w:t>加强规划实施监督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>
      <w:pPr>
        <w:spacing w:line="600" w:lineRule="exact"/>
        <w:ind w:firstLine="640" w:firstLineChars="200"/>
        <w:rPr>
          <w:rFonts w:hint="eastAsia" w:ascii="等线" w:hAnsi="等线" w:eastAsia="仿宋_GB2312"/>
          <w:sz w:val="32"/>
          <w:szCs w:val="22"/>
        </w:rPr>
      </w:pPr>
      <w:bookmarkStart w:id="298" w:name="_Toc1476"/>
      <w:bookmarkStart w:id="299" w:name="_Toc29734"/>
      <w:bookmarkStart w:id="300" w:name="_Toc6199"/>
      <w:bookmarkStart w:id="301" w:name="_Toc3254"/>
      <w:bookmarkStart w:id="302" w:name="_Toc19552"/>
      <w:bookmarkStart w:id="303" w:name="_Toc7556"/>
      <w:bookmarkStart w:id="304" w:name="_Toc12827"/>
      <w:bookmarkStart w:id="305" w:name="_Toc26439"/>
      <w:bookmarkStart w:id="306" w:name="_Toc27219"/>
      <w:bookmarkStart w:id="307" w:name="_Toc1727"/>
      <w:bookmarkStart w:id="308" w:name="_Toc5998"/>
      <w:bookmarkStart w:id="309" w:name="_Toc28012"/>
      <w:bookmarkStart w:id="310" w:name="_Toc31845"/>
      <w:bookmarkStart w:id="311" w:name="_Toc12262"/>
      <w:r>
        <w:rPr>
          <w:rFonts w:hint="eastAsia" w:ascii="等线" w:hAnsi="等线" w:eastAsia="仿宋_GB2312"/>
          <w:sz w:val="32"/>
          <w:szCs w:val="22"/>
        </w:rPr>
        <w:t>已完成国土空间规划的地区，经</w:t>
      </w:r>
      <w:r>
        <w:rPr>
          <w:rFonts w:hint="eastAsia" w:ascii="等线" w:hAnsi="等线" w:eastAsia="仿宋_GB2312"/>
          <w:sz w:val="32"/>
          <w:szCs w:val="22"/>
          <w:lang w:eastAsia="zh-CN"/>
        </w:rPr>
        <w:t>规划实施</w:t>
      </w:r>
      <w:r>
        <w:rPr>
          <w:rFonts w:hint="eastAsia" w:ascii="等线" w:hAnsi="等线" w:eastAsia="仿宋_GB2312"/>
          <w:sz w:val="32"/>
          <w:szCs w:val="22"/>
        </w:rPr>
        <w:t>评估论证后的“平急两用”公共基础设施项目及其规划应统筹纳入国土空间规划“一张图”实施监督信息系统；正在编制国土空间规划的，可结合编制</w:t>
      </w:r>
      <w:r>
        <w:rPr>
          <w:rFonts w:hint="eastAsia" w:ascii="等线" w:hAnsi="等线" w:eastAsia="仿宋_GB2312"/>
          <w:sz w:val="32"/>
          <w:szCs w:val="22"/>
          <w:lang w:eastAsia="zh-CN"/>
        </w:rPr>
        <w:t>工作</w:t>
      </w:r>
      <w:r>
        <w:rPr>
          <w:rFonts w:hint="eastAsia" w:ascii="等线" w:hAnsi="等线" w:eastAsia="仿宋_GB2312"/>
          <w:sz w:val="32"/>
          <w:szCs w:val="22"/>
        </w:rPr>
        <w:t>统筹优化“平急两用”公共基础设施用地和空间结构，并纳入国土空间规划“一张图”实施监督信息系统。</w:t>
      </w:r>
    </w:p>
    <w:p>
      <w:pPr>
        <w:spacing w:line="600" w:lineRule="exact"/>
        <w:ind w:firstLine="640"/>
      </w:pPr>
      <w:r>
        <w:rPr>
          <w:rFonts w:hint="eastAsia" w:ascii="等线" w:hAnsi="等线" w:eastAsia="仿宋_GB2312"/>
          <w:sz w:val="32"/>
          <w:szCs w:val="22"/>
        </w:rPr>
        <w:t>依托国土空间规划“一张图”实施监督信息系统，</w:t>
      </w:r>
      <w:r>
        <w:rPr>
          <w:rFonts w:hint="eastAsia" w:ascii="等线" w:hAnsi="等线" w:eastAsia="仿宋_GB2312"/>
          <w:sz w:val="32"/>
          <w:szCs w:val="22"/>
          <w:lang w:eastAsia="zh-CN"/>
        </w:rPr>
        <w:t>推进</w:t>
      </w:r>
      <w:r>
        <w:rPr>
          <w:rFonts w:hint="eastAsia" w:ascii="等线" w:hAnsi="等线" w:eastAsia="仿宋_GB2312"/>
          <w:sz w:val="32"/>
          <w:szCs w:val="22"/>
        </w:rPr>
        <w:t>国土空间规划实施监测网络建设，加强对“平急两用”公共基础设施规划全过程在线管理，确保耕地红线不突破、生态环境</w:t>
      </w:r>
      <w:r>
        <w:rPr>
          <w:rFonts w:hint="eastAsia" w:ascii="等线" w:hAnsi="等线" w:eastAsia="仿宋_GB2312"/>
          <w:sz w:val="32"/>
          <w:szCs w:val="22"/>
          <w:lang w:eastAsia="zh-CN"/>
        </w:rPr>
        <w:t>和历史风貌</w:t>
      </w:r>
      <w:r>
        <w:rPr>
          <w:rFonts w:hint="eastAsia" w:ascii="等线" w:hAnsi="等线" w:eastAsia="仿宋_GB2312"/>
          <w:sz w:val="32"/>
          <w:szCs w:val="22"/>
        </w:rPr>
        <w:t>不破坏、</w:t>
      </w:r>
      <w:r>
        <w:rPr>
          <w:rFonts w:hint="eastAsia" w:ascii="等线" w:hAnsi="等线" w:eastAsia="仿宋_GB2312"/>
          <w:sz w:val="32"/>
          <w:szCs w:val="22"/>
          <w:lang w:eastAsia="zh-CN"/>
        </w:rPr>
        <w:t>群众</w:t>
      </w:r>
      <w:r>
        <w:rPr>
          <w:rFonts w:hint="eastAsia" w:ascii="等线" w:hAnsi="等线" w:eastAsia="仿宋_GB2312"/>
          <w:sz w:val="32"/>
          <w:szCs w:val="22"/>
        </w:rPr>
        <w:t>利益不受损、主体功能不改变。同时将</w:t>
      </w:r>
      <w:r>
        <w:rPr>
          <w:rFonts w:hint="eastAsia" w:ascii="等线" w:hAnsi="等线" w:eastAsia="仿宋_GB2312"/>
          <w:sz w:val="32"/>
          <w:szCs w:val="22"/>
          <w:lang w:eastAsia="zh-CN"/>
        </w:rPr>
        <w:t>平急功能复合的韧性城市</w:t>
      </w:r>
      <w:r>
        <w:rPr>
          <w:rFonts w:hint="eastAsia" w:ascii="等线" w:hAnsi="等线" w:eastAsia="仿宋_GB2312"/>
          <w:sz w:val="32"/>
          <w:szCs w:val="22"/>
        </w:rPr>
        <w:t>规划实施情况纳入国土空间规划体检评估，严格日常监督管理，及时发现问题并督促整改，严禁借“平急两用”之名，行违法建设之实。</w:t>
      </w:r>
      <w:bookmarkEnd w:id="249"/>
      <w:bookmarkEnd w:id="250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9908F0-A9C6-4DE9-A6E1-ABCA022E2E26}"/>
  </w:font>
  <w:font w:name="方正书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053B7F-DFB4-461C-ACDC-41FE9F91DFD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A2007E5-849D-4ACA-B85E-3111D5F451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5DB6C3-BE58-477F-8C6B-37124C1D4E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YjA4ODUyMzNiYTQ5NTA0OWQ3ODAzYThmYTY1ZTgifQ=="/>
  </w:docVars>
  <w:rsids>
    <w:rsidRoot w:val="00000000"/>
    <w:rsid w:val="03FB6F70"/>
    <w:rsid w:val="07FFADA8"/>
    <w:rsid w:val="0ED9EFAB"/>
    <w:rsid w:val="0F7FD03A"/>
    <w:rsid w:val="10CB5843"/>
    <w:rsid w:val="167FE0B2"/>
    <w:rsid w:val="173B9690"/>
    <w:rsid w:val="1ADDD0C9"/>
    <w:rsid w:val="1EF79940"/>
    <w:rsid w:val="1F686AA3"/>
    <w:rsid w:val="1F7D7A4C"/>
    <w:rsid w:val="1F7FDEBF"/>
    <w:rsid w:val="24FFF359"/>
    <w:rsid w:val="27574CE3"/>
    <w:rsid w:val="2B3D85FD"/>
    <w:rsid w:val="2F777803"/>
    <w:rsid w:val="2FDEBBC6"/>
    <w:rsid w:val="33DE6E31"/>
    <w:rsid w:val="33FF2F9B"/>
    <w:rsid w:val="33FF8D75"/>
    <w:rsid w:val="35FB6A2D"/>
    <w:rsid w:val="39755EB7"/>
    <w:rsid w:val="39DA6D31"/>
    <w:rsid w:val="3A7D85AA"/>
    <w:rsid w:val="3A7E9277"/>
    <w:rsid w:val="3AF763DE"/>
    <w:rsid w:val="3AFD2F7D"/>
    <w:rsid w:val="3AFF0B80"/>
    <w:rsid w:val="3BF6D516"/>
    <w:rsid w:val="3BFF8B65"/>
    <w:rsid w:val="3C39F67A"/>
    <w:rsid w:val="3C6BA159"/>
    <w:rsid w:val="3CDF7AD5"/>
    <w:rsid w:val="3D4FBCD4"/>
    <w:rsid w:val="3D73BA80"/>
    <w:rsid w:val="3DE955F4"/>
    <w:rsid w:val="3DF328AE"/>
    <w:rsid w:val="3E670A60"/>
    <w:rsid w:val="3E7F41C6"/>
    <w:rsid w:val="3EAB0813"/>
    <w:rsid w:val="3EBD4247"/>
    <w:rsid w:val="3EBF5CA3"/>
    <w:rsid w:val="3EE7D49D"/>
    <w:rsid w:val="3EEF4A64"/>
    <w:rsid w:val="3F336F60"/>
    <w:rsid w:val="3F73476B"/>
    <w:rsid w:val="3F7A80DD"/>
    <w:rsid w:val="3F7C10B3"/>
    <w:rsid w:val="3FA96D46"/>
    <w:rsid w:val="3FBBF215"/>
    <w:rsid w:val="3FBF3D14"/>
    <w:rsid w:val="3FE5E8CD"/>
    <w:rsid w:val="3FE5FB92"/>
    <w:rsid w:val="3FE67F4F"/>
    <w:rsid w:val="3FE6D569"/>
    <w:rsid w:val="3FEF544A"/>
    <w:rsid w:val="3FF7C12A"/>
    <w:rsid w:val="3FFB05D6"/>
    <w:rsid w:val="44EF1E37"/>
    <w:rsid w:val="479F9004"/>
    <w:rsid w:val="47DD7D76"/>
    <w:rsid w:val="47FCD609"/>
    <w:rsid w:val="4B4F767F"/>
    <w:rsid w:val="4CFF07FC"/>
    <w:rsid w:val="4D556859"/>
    <w:rsid w:val="4E77534E"/>
    <w:rsid w:val="4F7A2024"/>
    <w:rsid w:val="4FBFD6B5"/>
    <w:rsid w:val="4FFF6214"/>
    <w:rsid w:val="51FED7AB"/>
    <w:rsid w:val="52DF059D"/>
    <w:rsid w:val="577A9527"/>
    <w:rsid w:val="577F9E64"/>
    <w:rsid w:val="597AF59D"/>
    <w:rsid w:val="59FA96F4"/>
    <w:rsid w:val="5AFF2C72"/>
    <w:rsid w:val="5B3F0C2B"/>
    <w:rsid w:val="5BD462C2"/>
    <w:rsid w:val="5BF62EFF"/>
    <w:rsid w:val="5BF90BF3"/>
    <w:rsid w:val="5CDFCB67"/>
    <w:rsid w:val="5D7B5D77"/>
    <w:rsid w:val="5DBC38AB"/>
    <w:rsid w:val="5DBD0301"/>
    <w:rsid w:val="5DF5D024"/>
    <w:rsid w:val="5DFBEEC2"/>
    <w:rsid w:val="5E3FB759"/>
    <w:rsid w:val="5E7EF717"/>
    <w:rsid w:val="5EFA7CCD"/>
    <w:rsid w:val="5EFF4CF6"/>
    <w:rsid w:val="5F3E13AA"/>
    <w:rsid w:val="5F7B555B"/>
    <w:rsid w:val="5FB1753B"/>
    <w:rsid w:val="5FBF2905"/>
    <w:rsid w:val="5FEBEB2C"/>
    <w:rsid w:val="5FFB207F"/>
    <w:rsid w:val="5FFD8A44"/>
    <w:rsid w:val="5FFE01E0"/>
    <w:rsid w:val="65BFC506"/>
    <w:rsid w:val="65DFD0D6"/>
    <w:rsid w:val="66C37788"/>
    <w:rsid w:val="67BC1EA7"/>
    <w:rsid w:val="67FA41BD"/>
    <w:rsid w:val="67FB9572"/>
    <w:rsid w:val="6AF5D54A"/>
    <w:rsid w:val="6B3FC56A"/>
    <w:rsid w:val="6B8702AA"/>
    <w:rsid w:val="6B8F86ED"/>
    <w:rsid w:val="6BE6834D"/>
    <w:rsid w:val="6BF804BC"/>
    <w:rsid w:val="6BF930B6"/>
    <w:rsid w:val="6DD76D8B"/>
    <w:rsid w:val="6DEFDA54"/>
    <w:rsid w:val="6DF762FA"/>
    <w:rsid w:val="6DFA27CC"/>
    <w:rsid w:val="6DFF6B11"/>
    <w:rsid w:val="6E433100"/>
    <w:rsid w:val="6EF39514"/>
    <w:rsid w:val="6F6D9C39"/>
    <w:rsid w:val="6F7D80EE"/>
    <w:rsid w:val="6FAD863F"/>
    <w:rsid w:val="6FAF8C63"/>
    <w:rsid w:val="6FB2DD0F"/>
    <w:rsid w:val="6FB5B222"/>
    <w:rsid w:val="6FBB27F8"/>
    <w:rsid w:val="6FED44F0"/>
    <w:rsid w:val="6FEEFB21"/>
    <w:rsid w:val="6FF923CB"/>
    <w:rsid w:val="6FF92A0B"/>
    <w:rsid w:val="6FF945B0"/>
    <w:rsid w:val="6FFD9BE0"/>
    <w:rsid w:val="6FFF438D"/>
    <w:rsid w:val="6FFFB737"/>
    <w:rsid w:val="739E10D9"/>
    <w:rsid w:val="73E88067"/>
    <w:rsid w:val="73F9104C"/>
    <w:rsid w:val="74F9527E"/>
    <w:rsid w:val="757DE146"/>
    <w:rsid w:val="76DE7A14"/>
    <w:rsid w:val="775BB41A"/>
    <w:rsid w:val="777F952B"/>
    <w:rsid w:val="77A70506"/>
    <w:rsid w:val="77BFE20C"/>
    <w:rsid w:val="77D7DA6C"/>
    <w:rsid w:val="77DD4F47"/>
    <w:rsid w:val="77EEA406"/>
    <w:rsid w:val="77FF5776"/>
    <w:rsid w:val="77FFC2F7"/>
    <w:rsid w:val="789A85D0"/>
    <w:rsid w:val="79CB2E23"/>
    <w:rsid w:val="79DEC659"/>
    <w:rsid w:val="79F6AB17"/>
    <w:rsid w:val="7B3F579C"/>
    <w:rsid w:val="7B6BFFDF"/>
    <w:rsid w:val="7B7F0551"/>
    <w:rsid w:val="7B967EC6"/>
    <w:rsid w:val="7BD7AC3E"/>
    <w:rsid w:val="7BDFF0EE"/>
    <w:rsid w:val="7BFC2CCC"/>
    <w:rsid w:val="7BFDE03F"/>
    <w:rsid w:val="7BFF1D98"/>
    <w:rsid w:val="7BFFBB93"/>
    <w:rsid w:val="7CF7A32C"/>
    <w:rsid w:val="7CFA1AFE"/>
    <w:rsid w:val="7CFF94F5"/>
    <w:rsid w:val="7CFFCAF8"/>
    <w:rsid w:val="7D77306D"/>
    <w:rsid w:val="7D9DF22A"/>
    <w:rsid w:val="7DEF832A"/>
    <w:rsid w:val="7DFE7B3A"/>
    <w:rsid w:val="7E7F0C5C"/>
    <w:rsid w:val="7EA7F039"/>
    <w:rsid w:val="7EAFCA82"/>
    <w:rsid w:val="7F1FC45E"/>
    <w:rsid w:val="7F3B7CBF"/>
    <w:rsid w:val="7F3DA982"/>
    <w:rsid w:val="7F3FE097"/>
    <w:rsid w:val="7F545E17"/>
    <w:rsid w:val="7F59A256"/>
    <w:rsid w:val="7F61CF0E"/>
    <w:rsid w:val="7F673D98"/>
    <w:rsid w:val="7F6EC04A"/>
    <w:rsid w:val="7F6F54C9"/>
    <w:rsid w:val="7F7B48A0"/>
    <w:rsid w:val="7F7D58EC"/>
    <w:rsid w:val="7F7DBB79"/>
    <w:rsid w:val="7F8BCD29"/>
    <w:rsid w:val="7F95F91C"/>
    <w:rsid w:val="7F9BC168"/>
    <w:rsid w:val="7FA18168"/>
    <w:rsid w:val="7FB19B1B"/>
    <w:rsid w:val="7FB735BC"/>
    <w:rsid w:val="7FBF6156"/>
    <w:rsid w:val="7FCFE15B"/>
    <w:rsid w:val="7FD5ECDB"/>
    <w:rsid w:val="7FD7838A"/>
    <w:rsid w:val="7FDBC080"/>
    <w:rsid w:val="7FDF302C"/>
    <w:rsid w:val="7FE49B71"/>
    <w:rsid w:val="7FE74EAC"/>
    <w:rsid w:val="7FEB57CB"/>
    <w:rsid w:val="7FED0C8D"/>
    <w:rsid w:val="7FEE0205"/>
    <w:rsid w:val="7FF3D5CA"/>
    <w:rsid w:val="7FF445BB"/>
    <w:rsid w:val="7FF6CBD3"/>
    <w:rsid w:val="7FF6D52B"/>
    <w:rsid w:val="7FF7586E"/>
    <w:rsid w:val="7FF76EF8"/>
    <w:rsid w:val="7FFC1EFF"/>
    <w:rsid w:val="7FFC26C3"/>
    <w:rsid w:val="7FFE1740"/>
    <w:rsid w:val="7FFF4D7A"/>
    <w:rsid w:val="7FFFAFE0"/>
    <w:rsid w:val="7FFFB77D"/>
    <w:rsid w:val="7FFFD8FF"/>
    <w:rsid w:val="83DDD946"/>
    <w:rsid w:val="8857BF51"/>
    <w:rsid w:val="8B5CD110"/>
    <w:rsid w:val="8DFE821D"/>
    <w:rsid w:val="8FB4E9FC"/>
    <w:rsid w:val="9AB6381B"/>
    <w:rsid w:val="9D4B5CFF"/>
    <w:rsid w:val="9DDE4BF1"/>
    <w:rsid w:val="9F7F79F0"/>
    <w:rsid w:val="9FA748E1"/>
    <w:rsid w:val="9FAE83C7"/>
    <w:rsid w:val="9FD75393"/>
    <w:rsid w:val="9FEE6A3D"/>
    <w:rsid w:val="9FEF068D"/>
    <w:rsid w:val="9FEF35CA"/>
    <w:rsid w:val="9FFD3F42"/>
    <w:rsid w:val="9FFE6E35"/>
    <w:rsid w:val="A3AF8AFF"/>
    <w:rsid w:val="A9DB77CF"/>
    <w:rsid w:val="AC9BBBEC"/>
    <w:rsid w:val="AD5F8F86"/>
    <w:rsid w:val="AD7E1A91"/>
    <w:rsid w:val="AD9F8128"/>
    <w:rsid w:val="AEBFC1A5"/>
    <w:rsid w:val="AFF7F008"/>
    <w:rsid w:val="AFFDFC26"/>
    <w:rsid w:val="B3BBE949"/>
    <w:rsid w:val="B5FF8171"/>
    <w:rsid w:val="B6E32B12"/>
    <w:rsid w:val="B7FBC4BE"/>
    <w:rsid w:val="B85AE923"/>
    <w:rsid w:val="BA7B23C6"/>
    <w:rsid w:val="BA901D3B"/>
    <w:rsid w:val="BA9E5496"/>
    <w:rsid w:val="BDDBB23D"/>
    <w:rsid w:val="BDE56094"/>
    <w:rsid w:val="BF1F2618"/>
    <w:rsid w:val="BF365CAA"/>
    <w:rsid w:val="BFDDD605"/>
    <w:rsid w:val="BFDDE757"/>
    <w:rsid w:val="BFF5D5DF"/>
    <w:rsid w:val="BFFFF73E"/>
    <w:rsid w:val="C4F9FBB9"/>
    <w:rsid w:val="C67EF44B"/>
    <w:rsid w:val="C6FF9632"/>
    <w:rsid w:val="C9D77206"/>
    <w:rsid w:val="C9FA0752"/>
    <w:rsid w:val="CCFC3C96"/>
    <w:rsid w:val="CCFDC3BA"/>
    <w:rsid w:val="CDF70DEB"/>
    <w:rsid w:val="CFFF7263"/>
    <w:rsid w:val="D1D76705"/>
    <w:rsid w:val="D27F487C"/>
    <w:rsid w:val="D39F0232"/>
    <w:rsid w:val="D3C73C00"/>
    <w:rsid w:val="D769D6BC"/>
    <w:rsid w:val="D76ABB9A"/>
    <w:rsid w:val="D8CDC48A"/>
    <w:rsid w:val="D9E75211"/>
    <w:rsid w:val="DB6FE568"/>
    <w:rsid w:val="DBBF467E"/>
    <w:rsid w:val="DBBF6595"/>
    <w:rsid w:val="DBF31AE0"/>
    <w:rsid w:val="DBF9820C"/>
    <w:rsid w:val="DBFA979D"/>
    <w:rsid w:val="DDEF2FCB"/>
    <w:rsid w:val="DDEFC5F0"/>
    <w:rsid w:val="DDF7749B"/>
    <w:rsid w:val="DEBFC3B6"/>
    <w:rsid w:val="DEDB265C"/>
    <w:rsid w:val="DFAF0B04"/>
    <w:rsid w:val="DFAF2968"/>
    <w:rsid w:val="DFBFB429"/>
    <w:rsid w:val="DFDBB467"/>
    <w:rsid w:val="DFE709E1"/>
    <w:rsid w:val="DFEECF85"/>
    <w:rsid w:val="DFEF0FA3"/>
    <w:rsid w:val="DFEF4A71"/>
    <w:rsid w:val="DFF504A9"/>
    <w:rsid w:val="DFF6AB5D"/>
    <w:rsid w:val="DFF7E9E8"/>
    <w:rsid w:val="E36D82EF"/>
    <w:rsid w:val="E3DDC7E7"/>
    <w:rsid w:val="E5EF44BC"/>
    <w:rsid w:val="E5F319A5"/>
    <w:rsid w:val="E6BE7AD1"/>
    <w:rsid w:val="E7BA48E2"/>
    <w:rsid w:val="E7FAD709"/>
    <w:rsid w:val="E7FB8927"/>
    <w:rsid w:val="E8361467"/>
    <w:rsid w:val="E9798287"/>
    <w:rsid w:val="E9CFDEED"/>
    <w:rsid w:val="E9EFCF63"/>
    <w:rsid w:val="E9F71EFB"/>
    <w:rsid w:val="EA65D512"/>
    <w:rsid w:val="ED37E76E"/>
    <w:rsid w:val="EDF311D0"/>
    <w:rsid w:val="EDFE42A8"/>
    <w:rsid w:val="EE8405B9"/>
    <w:rsid w:val="EEF310D2"/>
    <w:rsid w:val="EF94C2E7"/>
    <w:rsid w:val="EF964591"/>
    <w:rsid w:val="EF97F1FD"/>
    <w:rsid w:val="EF9F52CA"/>
    <w:rsid w:val="EFBE53E9"/>
    <w:rsid w:val="EFEFD336"/>
    <w:rsid w:val="EFFAD89C"/>
    <w:rsid w:val="EFFF95A0"/>
    <w:rsid w:val="EFFFA2AC"/>
    <w:rsid w:val="F13DA790"/>
    <w:rsid w:val="F27F56A8"/>
    <w:rsid w:val="F2F78372"/>
    <w:rsid w:val="F2FEFBBE"/>
    <w:rsid w:val="F2FFD1B9"/>
    <w:rsid w:val="F30D5A8F"/>
    <w:rsid w:val="F3ECFD74"/>
    <w:rsid w:val="F3FF9ED4"/>
    <w:rsid w:val="F46BCA12"/>
    <w:rsid w:val="F4FE3CFB"/>
    <w:rsid w:val="F4FFE0AB"/>
    <w:rsid w:val="F5864C3B"/>
    <w:rsid w:val="F5A96ECF"/>
    <w:rsid w:val="F5EF65DB"/>
    <w:rsid w:val="F6EDE530"/>
    <w:rsid w:val="F6F83A0D"/>
    <w:rsid w:val="F6FDD9CE"/>
    <w:rsid w:val="F7396190"/>
    <w:rsid w:val="F777FE11"/>
    <w:rsid w:val="F79B076F"/>
    <w:rsid w:val="F7CFAA93"/>
    <w:rsid w:val="F7D31871"/>
    <w:rsid w:val="F7D5245E"/>
    <w:rsid w:val="F7DF77A9"/>
    <w:rsid w:val="F7E6787D"/>
    <w:rsid w:val="F7EF3FAC"/>
    <w:rsid w:val="F7F462FA"/>
    <w:rsid w:val="F7F6B5BB"/>
    <w:rsid w:val="F7F73936"/>
    <w:rsid w:val="F7FDA158"/>
    <w:rsid w:val="F9650C6E"/>
    <w:rsid w:val="F971AAAF"/>
    <w:rsid w:val="F9CF36BD"/>
    <w:rsid w:val="F9FB1FE7"/>
    <w:rsid w:val="FAB30D3D"/>
    <w:rsid w:val="FABE70A4"/>
    <w:rsid w:val="FAFE5ABE"/>
    <w:rsid w:val="FB56A73F"/>
    <w:rsid w:val="FB7776D8"/>
    <w:rsid w:val="FB7CA8B8"/>
    <w:rsid w:val="FB7E255A"/>
    <w:rsid w:val="FB9D585A"/>
    <w:rsid w:val="FBA921F8"/>
    <w:rsid w:val="FBDD540D"/>
    <w:rsid w:val="FBEDE7A0"/>
    <w:rsid w:val="FBFB8848"/>
    <w:rsid w:val="FBFE6C11"/>
    <w:rsid w:val="FCFF8C5F"/>
    <w:rsid w:val="FCFF90FE"/>
    <w:rsid w:val="FD1E4409"/>
    <w:rsid w:val="FD7D6DA0"/>
    <w:rsid w:val="FD7F1F00"/>
    <w:rsid w:val="FDBA9DF1"/>
    <w:rsid w:val="FDDE078A"/>
    <w:rsid w:val="FDEF220B"/>
    <w:rsid w:val="FDEFB80E"/>
    <w:rsid w:val="FDEFC11D"/>
    <w:rsid w:val="FDF5EB72"/>
    <w:rsid w:val="FDF7360A"/>
    <w:rsid w:val="FDFFDBF7"/>
    <w:rsid w:val="FE3BE2F5"/>
    <w:rsid w:val="FE6B8EAF"/>
    <w:rsid w:val="FE734873"/>
    <w:rsid w:val="FE7F3B44"/>
    <w:rsid w:val="FE9DD4D9"/>
    <w:rsid w:val="FEBD7FB0"/>
    <w:rsid w:val="FEBF6395"/>
    <w:rsid w:val="FEEF85AE"/>
    <w:rsid w:val="FEF79B5B"/>
    <w:rsid w:val="FEFF45CC"/>
    <w:rsid w:val="FEFF9B2D"/>
    <w:rsid w:val="FF1DBC95"/>
    <w:rsid w:val="FF476465"/>
    <w:rsid w:val="FF5F8AB3"/>
    <w:rsid w:val="FF6D6EE0"/>
    <w:rsid w:val="FF7143C8"/>
    <w:rsid w:val="FF77A8EF"/>
    <w:rsid w:val="FF7D409F"/>
    <w:rsid w:val="FF9ED4D5"/>
    <w:rsid w:val="FFABC345"/>
    <w:rsid w:val="FFAF71A0"/>
    <w:rsid w:val="FFAF8DFB"/>
    <w:rsid w:val="FFD7C255"/>
    <w:rsid w:val="FFD7FDB5"/>
    <w:rsid w:val="FFDBF334"/>
    <w:rsid w:val="FFDD0B5E"/>
    <w:rsid w:val="FFDEA4D2"/>
    <w:rsid w:val="FFE0CCBE"/>
    <w:rsid w:val="FFEA8307"/>
    <w:rsid w:val="FFED7120"/>
    <w:rsid w:val="FFF1131A"/>
    <w:rsid w:val="FFF312BF"/>
    <w:rsid w:val="FFF36C79"/>
    <w:rsid w:val="FFF39166"/>
    <w:rsid w:val="FFF7306E"/>
    <w:rsid w:val="FFFF69CC"/>
    <w:rsid w:val="FFFFE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60" w:lineRule="exact"/>
      <w:ind w:firstLine="0" w:firstLineChars="0"/>
      <w:jc w:val="both"/>
      <w:outlineLvl w:val="0"/>
    </w:pPr>
    <w:rPr>
      <w:rFonts w:ascii="黑体" w:hAnsi="黑体" w:eastAsia="黑体" w:cs="Times New Roman"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widowControl w:val="0"/>
      <w:spacing w:line="560" w:lineRule="exact"/>
      <w:ind w:firstLine="640" w:firstLineChars="200"/>
      <w:jc w:val="both"/>
      <w:outlineLvl w:val="1"/>
    </w:pPr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等线" w:hAnsi="等线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9"/>
    <w:next w:val="9"/>
    <w:qFormat/>
    <w:uiPriority w:val="34"/>
    <w:pPr>
      <w:widowControl w:val="0"/>
      <w:spacing w:line="560" w:lineRule="exact"/>
      <w:ind w:firstLine="420" w:firstLineChars="20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paragraph" w:styleId="9">
    <w:name w:val="List Paragraph"/>
    <w:qFormat/>
    <w:uiPriority w:val="34"/>
    <w:pPr>
      <w:widowControl w:val="0"/>
      <w:spacing w:line="560" w:lineRule="exact"/>
      <w:ind w:firstLine="42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4918</Words>
  <Characters>4933</Characters>
  <Lines>0</Lines>
  <Paragraphs>0</Paragraphs>
  <TotalTime>7.33333333333333</TotalTime>
  <ScaleCrop>false</ScaleCrop>
  <LinksUpToDate>false</LinksUpToDate>
  <CharactersWithSpaces>4934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2014-11-16T20:08:00Z</dcterms:created>
  <dc:creator>Administrator</dc:creator>
  <cp:lastModifiedBy>Z</cp:lastModifiedBy>
  <cp:lastPrinted>2024-04-28T16:33:17Z</cp:lastPrinted>
  <dcterms:modified xsi:type="dcterms:W3CDTF">2024-05-14T05:44:38Z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2E4D3ED7B57840D89080BE26D47C1BA5_13</vt:lpwstr>
  </property>
</Properties>
</file>